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1E85D" w14:textId="77777777" w:rsidR="00741C3A" w:rsidRPr="00F64497" w:rsidRDefault="00741C3A" w:rsidP="00741C3A">
      <w:pPr>
        <w:pStyle w:val="Heading2"/>
      </w:pPr>
      <w:bookmarkStart w:id="0" w:name="_Toc107844384"/>
      <w:bookmarkStart w:id="1" w:name="_Toc112236865"/>
      <w:bookmarkStart w:id="2" w:name="_Toc112414726"/>
      <w:bookmarkStart w:id="3" w:name="_Toc114053944"/>
      <w:bookmarkStart w:id="4" w:name="_Toc120282578"/>
      <w:r w:rsidRPr="00F64497">
        <w:t>Hypertension</w:t>
      </w:r>
      <w:bookmarkEnd w:id="0"/>
      <w:bookmarkEnd w:id="1"/>
      <w:bookmarkEnd w:id="2"/>
      <w:bookmarkEnd w:id="3"/>
      <w:bookmarkEnd w:id="4"/>
    </w:p>
    <w:tbl>
      <w:tblPr>
        <w:tblStyle w:val="TableGrid"/>
        <w:tblW w:w="9776" w:type="dxa"/>
        <w:tblLook w:val="0420" w:firstRow="1" w:lastRow="0" w:firstColumn="0" w:lastColumn="0" w:noHBand="0" w:noVBand="1"/>
        <w:tblCaption w:val="Hypertension GP indicators table"/>
        <w:tblDescription w:val="Table for Hypertension GP indicators "/>
      </w:tblPr>
      <w:tblGrid>
        <w:gridCol w:w="993"/>
        <w:gridCol w:w="4962"/>
        <w:gridCol w:w="1978"/>
        <w:gridCol w:w="1843"/>
      </w:tblGrid>
      <w:tr w:rsidR="00741C3A" w:rsidRPr="00F64497" w14:paraId="4AE7E0F9" w14:textId="77777777" w:rsidTr="00AE12AA">
        <w:trPr>
          <w:trHeight w:val="509"/>
          <w:tblHeader/>
        </w:trPr>
        <w:tc>
          <w:tcPr>
            <w:tcW w:w="993" w:type="dxa"/>
          </w:tcPr>
          <w:p w14:paraId="3DEC0663" w14:textId="77777777" w:rsidR="00741C3A" w:rsidRPr="00F64497" w:rsidRDefault="00741C3A" w:rsidP="00AE12AA">
            <w:pPr>
              <w:spacing w:after="60"/>
              <w:rPr>
                <w:rFonts w:ascii="Arial" w:hAnsi="Arial" w:cs="Arial"/>
                <w:sz w:val="20"/>
                <w:szCs w:val="20"/>
              </w:rPr>
            </w:pPr>
            <w:r w:rsidRPr="007D2FBE">
              <w:rPr>
                <w:rFonts w:ascii="Arial" w:hAnsi="Arial" w:cs="Arial"/>
                <w:b/>
                <w:bCs/>
                <w:sz w:val="20"/>
                <w:szCs w:val="20"/>
              </w:rPr>
              <w:t>ID</w:t>
            </w:r>
          </w:p>
        </w:tc>
        <w:tc>
          <w:tcPr>
            <w:tcW w:w="4962" w:type="dxa"/>
          </w:tcPr>
          <w:p w14:paraId="22BDCC33" w14:textId="77777777" w:rsidR="00741C3A" w:rsidRPr="00F64497" w:rsidRDefault="00741C3A" w:rsidP="00AE12AA">
            <w:pPr>
              <w:spacing w:after="60"/>
              <w:rPr>
                <w:rFonts w:ascii="Arial" w:hAnsi="Arial" w:cs="Arial"/>
                <w:sz w:val="20"/>
                <w:szCs w:val="20"/>
              </w:rPr>
            </w:pPr>
            <w:r w:rsidRPr="007D2FBE">
              <w:rPr>
                <w:rFonts w:ascii="Arial" w:hAnsi="Arial" w:cs="Arial"/>
                <w:b/>
                <w:bCs/>
                <w:sz w:val="20"/>
                <w:szCs w:val="20"/>
              </w:rPr>
              <w:t xml:space="preserve">Indicator </w:t>
            </w:r>
          </w:p>
        </w:tc>
        <w:tc>
          <w:tcPr>
            <w:tcW w:w="1978" w:type="dxa"/>
          </w:tcPr>
          <w:p w14:paraId="664F77E6" w14:textId="77777777" w:rsidR="00741C3A" w:rsidRPr="00F64497" w:rsidRDefault="00741C3A" w:rsidP="00AE12AA">
            <w:pPr>
              <w:spacing w:after="60"/>
              <w:rPr>
                <w:rFonts w:ascii="Arial" w:hAnsi="Arial" w:cs="Arial"/>
                <w:sz w:val="20"/>
                <w:szCs w:val="20"/>
              </w:rPr>
            </w:pPr>
            <w:r w:rsidRPr="007D2FBE">
              <w:rPr>
                <w:rFonts w:ascii="Arial" w:hAnsi="Arial" w:cs="Arial"/>
                <w:b/>
                <w:bCs/>
                <w:sz w:val="20"/>
                <w:szCs w:val="20"/>
              </w:rPr>
              <w:t>Indicator type</w:t>
            </w:r>
          </w:p>
        </w:tc>
        <w:tc>
          <w:tcPr>
            <w:tcW w:w="1843" w:type="dxa"/>
          </w:tcPr>
          <w:p w14:paraId="11B79550" w14:textId="77777777" w:rsidR="00741C3A" w:rsidRPr="00F64497" w:rsidRDefault="00741C3A" w:rsidP="00AE12AA">
            <w:pPr>
              <w:spacing w:after="60"/>
              <w:rPr>
                <w:rFonts w:ascii="Arial" w:hAnsi="Arial" w:cs="Arial"/>
                <w:sz w:val="20"/>
                <w:szCs w:val="20"/>
              </w:rPr>
            </w:pPr>
            <w:r w:rsidRPr="007D2FBE">
              <w:rPr>
                <w:rFonts w:ascii="Arial" w:hAnsi="Arial" w:cs="Arial"/>
                <w:b/>
                <w:bCs/>
                <w:sz w:val="20"/>
                <w:szCs w:val="20"/>
              </w:rPr>
              <w:t>Review date</w:t>
            </w:r>
          </w:p>
        </w:tc>
      </w:tr>
      <w:tr w:rsidR="00741C3A" w:rsidRPr="00F64497" w14:paraId="2BF0207E" w14:textId="77777777" w:rsidTr="00AE12AA">
        <w:trPr>
          <w:trHeight w:val="715"/>
        </w:trPr>
        <w:tc>
          <w:tcPr>
            <w:tcW w:w="993" w:type="dxa"/>
          </w:tcPr>
          <w:p w14:paraId="3CAE922A" w14:textId="77777777" w:rsidR="00741C3A" w:rsidRPr="00F64497" w:rsidRDefault="00000000" w:rsidP="00AE12AA">
            <w:pPr>
              <w:spacing w:after="60"/>
              <w:rPr>
                <w:rFonts w:ascii="Arial" w:hAnsi="Arial" w:cs="Arial"/>
                <w:color w:val="000000"/>
                <w:sz w:val="20"/>
                <w:szCs w:val="20"/>
              </w:rPr>
            </w:pPr>
            <w:hyperlink r:id="rId4" w:history="1">
              <w:r w:rsidR="00741C3A" w:rsidRPr="00F64497">
                <w:rPr>
                  <w:rStyle w:val="Hyperlink"/>
                  <w:rFonts w:ascii="Arial" w:hAnsi="Arial" w:cs="Arial"/>
                  <w:sz w:val="20"/>
                  <w:szCs w:val="20"/>
                </w:rPr>
                <w:t>NM36</w:t>
              </w:r>
            </w:hyperlink>
          </w:p>
        </w:tc>
        <w:tc>
          <w:tcPr>
            <w:tcW w:w="4962" w:type="dxa"/>
          </w:tcPr>
          <w:p w14:paraId="102A29B5" w14:textId="77777777" w:rsidR="00741C3A" w:rsidRPr="00F64497" w:rsidRDefault="00741C3A" w:rsidP="00AE12AA">
            <w:pPr>
              <w:spacing w:after="60"/>
              <w:rPr>
                <w:rFonts w:ascii="Arial" w:hAnsi="Arial" w:cs="Arial"/>
                <w:color w:val="000000"/>
                <w:sz w:val="20"/>
                <w:szCs w:val="20"/>
              </w:rPr>
            </w:pPr>
            <w:r w:rsidRPr="00F64497">
              <w:rPr>
                <w:rFonts w:ascii="Arial" w:hAnsi="Arial" w:cs="Arial"/>
                <w:color w:val="000000"/>
                <w:sz w:val="20"/>
                <w:szCs w:val="20"/>
              </w:rPr>
              <w:t>The percentage of patients with hypertension aged 16 to 74 years in whom there is an annual assessment of physical activity, using GPPAQ, in the preceding 15 months</w:t>
            </w:r>
          </w:p>
        </w:tc>
        <w:tc>
          <w:tcPr>
            <w:tcW w:w="1978" w:type="dxa"/>
          </w:tcPr>
          <w:p w14:paraId="3C8EAD11" w14:textId="77777777" w:rsidR="00741C3A" w:rsidRPr="00F64497" w:rsidRDefault="00741C3A" w:rsidP="00AE12AA">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48923460" w14:textId="77777777" w:rsidR="00741C3A" w:rsidRPr="00F64497" w:rsidRDefault="00741C3A" w:rsidP="00AE12AA">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2023</w:t>
            </w:r>
          </w:p>
        </w:tc>
      </w:tr>
      <w:tr w:rsidR="00741C3A" w:rsidRPr="00F64497" w14:paraId="3CDFD9B4" w14:textId="77777777" w:rsidTr="00AE12AA">
        <w:trPr>
          <w:trHeight w:val="998"/>
        </w:trPr>
        <w:tc>
          <w:tcPr>
            <w:tcW w:w="993" w:type="dxa"/>
          </w:tcPr>
          <w:p w14:paraId="361B3E8B" w14:textId="77777777" w:rsidR="00741C3A" w:rsidRPr="00F64497" w:rsidRDefault="00000000" w:rsidP="00AE12AA">
            <w:pPr>
              <w:spacing w:after="60"/>
              <w:rPr>
                <w:rFonts w:ascii="Arial" w:hAnsi="Arial" w:cs="Arial"/>
                <w:color w:val="000000"/>
                <w:sz w:val="20"/>
                <w:szCs w:val="20"/>
              </w:rPr>
            </w:pPr>
            <w:hyperlink r:id="rId5" w:history="1">
              <w:r w:rsidR="00741C3A" w:rsidRPr="00F64497">
                <w:rPr>
                  <w:rStyle w:val="Hyperlink"/>
                  <w:rFonts w:ascii="Arial" w:hAnsi="Arial" w:cs="Arial"/>
                  <w:sz w:val="20"/>
                  <w:szCs w:val="20"/>
                </w:rPr>
                <w:t>NM37</w:t>
              </w:r>
            </w:hyperlink>
          </w:p>
        </w:tc>
        <w:tc>
          <w:tcPr>
            <w:tcW w:w="4962" w:type="dxa"/>
          </w:tcPr>
          <w:p w14:paraId="4E3B19E3" w14:textId="77777777" w:rsidR="00741C3A" w:rsidRPr="00F64497" w:rsidRDefault="00741C3A" w:rsidP="00AE12AA">
            <w:pPr>
              <w:spacing w:after="60"/>
              <w:rPr>
                <w:rFonts w:ascii="Arial" w:hAnsi="Arial" w:cs="Arial"/>
                <w:color w:val="000000"/>
                <w:sz w:val="20"/>
                <w:szCs w:val="20"/>
              </w:rPr>
            </w:pPr>
            <w:r w:rsidRPr="00F64497">
              <w:rPr>
                <w:rFonts w:ascii="Arial" w:hAnsi="Arial" w:cs="Arial"/>
                <w:color w:val="000000"/>
                <w:sz w:val="20"/>
                <w:szCs w:val="20"/>
              </w:rPr>
              <w:t>The percentage of patients with hypertension aged 16 or over and who have not attained the age of 75 who score ‘less than active’ on GPPAQ in the preceding 15 months, who also have a record of a brief intervention in the preceding 15 months</w:t>
            </w:r>
          </w:p>
        </w:tc>
        <w:tc>
          <w:tcPr>
            <w:tcW w:w="1978" w:type="dxa"/>
          </w:tcPr>
          <w:p w14:paraId="4C5CE691" w14:textId="77777777" w:rsidR="00741C3A" w:rsidRPr="00F64497" w:rsidRDefault="00741C3A" w:rsidP="00AE12AA">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23061EFF" w14:textId="77777777" w:rsidR="00741C3A" w:rsidRPr="00F64497" w:rsidRDefault="00741C3A" w:rsidP="00AE12AA">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2023</w:t>
            </w:r>
          </w:p>
        </w:tc>
      </w:tr>
      <w:tr w:rsidR="00741C3A" w:rsidRPr="00F64497" w14:paraId="0782C9C5" w14:textId="77777777" w:rsidTr="00AE12AA">
        <w:trPr>
          <w:trHeight w:val="551"/>
        </w:trPr>
        <w:tc>
          <w:tcPr>
            <w:tcW w:w="993" w:type="dxa"/>
          </w:tcPr>
          <w:p w14:paraId="72AFA9A7" w14:textId="77777777" w:rsidR="00741C3A" w:rsidRDefault="00000000" w:rsidP="00AE12AA">
            <w:pPr>
              <w:spacing w:after="60"/>
            </w:pPr>
            <w:hyperlink r:id="rId6" w:history="1">
              <w:r w:rsidR="00741C3A" w:rsidRPr="00F64497">
                <w:rPr>
                  <w:rStyle w:val="Hyperlink"/>
                  <w:rFonts w:ascii="Arial" w:hAnsi="Arial" w:cs="Arial"/>
                  <w:sz w:val="20"/>
                  <w:szCs w:val="20"/>
                </w:rPr>
                <w:t>NM61</w:t>
              </w:r>
            </w:hyperlink>
          </w:p>
        </w:tc>
        <w:tc>
          <w:tcPr>
            <w:tcW w:w="4962" w:type="dxa"/>
          </w:tcPr>
          <w:p w14:paraId="580C4EA6" w14:textId="77777777" w:rsidR="00741C3A" w:rsidRPr="00F64497" w:rsidRDefault="00741C3A" w:rsidP="00AE12AA">
            <w:pPr>
              <w:spacing w:after="60"/>
              <w:rPr>
                <w:rFonts w:ascii="Arial" w:hAnsi="Arial" w:cs="Arial"/>
                <w:color w:val="000000"/>
                <w:sz w:val="20"/>
                <w:szCs w:val="20"/>
              </w:rPr>
            </w:pPr>
            <w:r w:rsidRPr="00F64497">
              <w:rPr>
                <w:rFonts w:ascii="Arial" w:hAnsi="Arial" w:cs="Arial"/>
                <w:color w:val="000000"/>
                <w:sz w:val="20"/>
                <w:szCs w:val="20"/>
              </w:rPr>
              <w:t>The percentage of patients aged 40 years and over with a blood pressure measurement recorded in the preceding 5 years</w:t>
            </w:r>
          </w:p>
        </w:tc>
        <w:tc>
          <w:tcPr>
            <w:tcW w:w="1978" w:type="dxa"/>
          </w:tcPr>
          <w:p w14:paraId="6B320E31" w14:textId="77777777" w:rsidR="00741C3A" w:rsidRDefault="00741C3A" w:rsidP="00AE12AA">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7A577079" w14:textId="77777777" w:rsidR="00741C3A" w:rsidRDefault="00741C3A" w:rsidP="00AE12AA">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2023</w:t>
            </w:r>
          </w:p>
        </w:tc>
      </w:tr>
      <w:tr w:rsidR="00741C3A" w:rsidRPr="00F64497" w14:paraId="7E9032CE" w14:textId="77777777" w:rsidTr="00AE12AA">
        <w:trPr>
          <w:trHeight w:val="998"/>
        </w:trPr>
        <w:tc>
          <w:tcPr>
            <w:tcW w:w="993" w:type="dxa"/>
          </w:tcPr>
          <w:p w14:paraId="3F834F20" w14:textId="77777777" w:rsidR="00741C3A" w:rsidRPr="00F64497" w:rsidRDefault="00000000" w:rsidP="00AE12AA">
            <w:pPr>
              <w:spacing w:after="60"/>
              <w:rPr>
                <w:rFonts w:ascii="Arial" w:hAnsi="Arial" w:cs="Arial"/>
                <w:color w:val="000000"/>
                <w:sz w:val="20"/>
                <w:szCs w:val="20"/>
              </w:rPr>
            </w:pPr>
            <w:hyperlink r:id="rId7" w:history="1">
              <w:r w:rsidR="00741C3A" w:rsidRPr="00F64497">
                <w:rPr>
                  <w:rStyle w:val="Hyperlink"/>
                  <w:rFonts w:ascii="Arial" w:hAnsi="Arial" w:cs="Arial"/>
                  <w:sz w:val="20"/>
                  <w:szCs w:val="20"/>
                </w:rPr>
                <w:t>NM66</w:t>
              </w:r>
            </w:hyperlink>
          </w:p>
        </w:tc>
        <w:tc>
          <w:tcPr>
            <w:tcW w:w="4962" w:type="dxa"/>
          </w:tcPr>
          <w:p w14:paraId="2B7F602F" w14:textId="77777777" w:rsidR="00741C3A" w:rsidRPr="00F64497" w:rsidRDefault="00741C3A" w:rsidP="00AE12AA">
            <w:pPr>
              <w:spacing w:after="60"/>
              <w:rPr>
                <w:rFonts w:ascii="Arial" w:hAnsi="Arial" w:cs="Arial"/>
                <w:color w:val="000000"/>
                <w:sz w:val="20"/>
                <w:szCs w:val="20"/>
              </w:rPr>
            </w:pPr>
            <w:r w:rsidRPr="00F64497">
              <w:rPr>
                <w:rFonts w:ascii="Arial" w:hAnsi="Arial" w:cs="Arial"/>
                <w:color w:val="000000"/>
                <w:sz w:val="20"/>
                <w:szCs w:val="20"/>
              </w:rPr>
              <w:t>The percentage of patients with a new diagnosis of hypertension (diagnosed on or after 1 April 2014) which has been confirmed by ambulatory blood pressure monitoring (ABPM) or home blood pressure monitoring (HBPM) in the three months before entering on to the register</w:t>
            </w:r>
          </w:p>
        </w:tc>
        <w:tc>
          <w:tcPr>
            <w:tcW w:w="1978" w:type="dxa"/>
          </w:tcPr>
          <w:p w14:paraId="5099B195" w14:textId="77777777" w:rsidR="00741C3A" w:rsidRPr="00F64497" w:rsidRDefault="00741C3A" w:rsidP="00AE12AA">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333E780C" w14:textId="77777777" w:rsidR="00741C3A" w:rsidRPr="00F64497" w:rsidRDefault="00741C3A" w:rsidP="00AE12AA">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2023</w:t>
            </w:r>
          </w:p>
        </w:tc>
      </w:tr>
      <w:tr w:rsidR="00741C3A" w:rsidRPr="00F64497" w14:paraId="28644EBD" w14:textId="77777777" w:rsidTr="00AE12AA">
        <w:trPr>
          <w:trHeight w:val="998"/>
        </w:trPr>
        <w:tc>
          <w:tcPr>
            <w:tcW w:w="993" w:type="dxa"/>
          </w:tcPr>
          <w:p w14:paraId="7CFA0FDA" w14:textId="77777777" w:rsidR="00741C3A" w:rsidRDefault="00000000" w:rsidP="00AE12AA">
            <w:pPr>
              <w:spacing w:after="60"/>
            </w:pPr>
            <w:hyperlink r:id="rId8" w:history="1">
              <w:r w:rsidR="00741C3A" w:rsidRPr="00F64497">
                <w:rPr>
                  <w:rStyle w:val="Hyperlink"/>
                  <w:rFonts w:ascii="Arial" w:hAnsi="Arial" w:cs="Arial"/>
                  <w:sz w:val="20"/>
                  <w:szCs w:val="20"/>
                </w:rPr>
                <w:t>NM75</w:t>
              </w:r>
            </w:hyperlink>
          </w:p>
        </w:tc>
        <w:tc>
          <w:tcPr>
            <w:tcW w:w="4962" w:type="dxa"/>
          </w:tcPr>
          <w:p w14:paraId="203F2AB0" w14:textId="77777777" w:rsidR="00741C3A" w:rsidRPr="00F64497" w:rsidRDefault="00741C3A" w:rsidP="00AE12AA">
            <w:pPr>
              <w:spacing w:after="60"/>
              <w:rPr>
                <w:rFonts w:ascii="Arial" w:hAnsi="Arial" w:cs="Arial"/>
                <w:color w:val="000000"/>
                <w:sz w:val="20"/>
                <w:szCs w:val="20"/>
              </w:rPr>
            </w:pPr>
            <w:r w:rsidRPr="00F64497">
              <w:rPr>
                <w:rFonts w:ascii="Arial" w:hAnsi="Arial" w:cs="Arial"/>
                <w:color w:val="000000"/>
                <w:sz w:val="20"/>
                <w:szCs w:val="20"/>
              </w:rPr>
              <w:t>The percentage of patients with a new diagnosis of hypertension in the preceding 1st April to 31st March who have a record of urinary albumin: creatinine ratio test in the three months before or after the date of entry to the hypertension register</w:t>
            </w:r>
          </w:p>
        </w:tc>
        <w:tc>
          <w:tcPr>
            <w:tcW w:w="1978" w:type="dxa"/>
          </w:tcPr>
          <w:p w14:paraId="32556B98" w14:textId="77777777" w:rsidR="00741C3A" w:rsidRDefault="00741C3A" w:rsidP="00AE12AA">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120D6EE7" w14:textId="77777777" w:rsidR="00741C3A" w:rsidRPr="00F64497" w:rsidRDefault="00741C3A" w:rsidP="00AE12AA">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2023</w:t>
            </w:r>
          </w:p>
        </w:tc>
      </w:tr>
      <w:tr w:rsidR="00741C3A" w:rsidRPr="00F64497" w14:paraId="496BD657" w14:textId="77777777" w:rsidTr="00AE12AA">
        <w:trPr>
          <w:trHeight w:val="998"/>
        </w:trPr>
        <w:tc>
          <w:tcPr>
            <w:tcW w:w="993" w:type="dxa"/>
          </w:tcPr>
          <w:p w14:paraId="2B2D72B1" w14:textId="77777777" w:rsidR="00741C3A" w:rsidRPr="00F64497" w:rsidRDefault="00000000" w:rsidP="00AE12AA">
            <w:pPr>
              <w:spacing w:after="60"/>
              <w:rPr>
                <w:rFonts w:ascii="Arial" w:hAnsi="Arial" w:cs="Arial"/>
                <w:color w:val="000000"/>
                <w:sz w:val="20"/>
                <w:szCs w:val="20"/>
              </w:rPr>
            </w:pPr>
            <w:hyperlink r:id="rId9" w:history="1">
              <w:r w:rsidR="00741C3A" w:rsidRPr="00F64497">
                <w:rPr>
                  <w:rStyle w:val="Hyperlink"/>
                  <w:rFonts w:ascii="Arial" w:hAnsi="Arial" w:cs="Arial"/>
                  <w:sz w:val="20"/>
                  <w:szCs w:val="20"/>
                </w:rPr>
                <w:t>NM76</w:t>
              </w:r>
            </w:hyperlink>
          </w:p>
        </w:tc>
        <w:tc>
          <w:tcPr>
            <w:tcW w:w="4962" w:type="dxa"/>
          </w:tcPr>
          <w:p w14:paraId="0995B577" w14:textId="77777777" w:rsidR="00741C3A" w:rsidRPr="00F64497" w:rsidRDefault="00741C3A" w:rsidP="00AE12AA">
            <w:pPr>
              <w:spacing w:after="60"/>
              <w:rPr>
                <w:rFonts w:ascii="Arial" w:hAnsi="Arial" w:cs="Arial"/>
                <w:color w:val="000000"/>
                <w:sz w:val="20"/>
                <w:szCs w:val="20"/>
              </w:rPr>
            </w:pPr>
            <w:r w:rsidRPr="00F64497">
              <w:rPr>
                <w:rFonts w:ascii="Arial" w:hAnsi="Arial" w:cs="Arial"/>
                <w:color w:val="000000"/>
                <w:sz w:val="20"/>
                <w:szCs w:val="20"/>
              </w:rPr>
              <w:t>The percentage of patients with a new diagnosis of hypertension in the preceding 1st April to 31st March who have a record of a test for haematuria in the three months before or after the date of entry to the hypertension register</w:t>
            </w:r>
          </w:p>
        </w:tc>
        <w:tc>
          <w:tcPr>
            <w:tcW w:w="1978" w:type="dxa"/>
          </w:tcPr>
          <w:p w14:paraId="4F5F3C71" w14:textId="77777777" w:rsidR="00741C3A" w:rsidRPr="00F64497" w:rsidRDefault="00741C3A" w:rsidP="00AE12AA">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139EAD52" w14:textId="77777777" w:rsidR="00741C3A" w:rsidRPr="00F64497" w:rsidRDefault="00741C3A" w:rsidP="00AE12AA">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2023</w:t>
            </w:r>
          </w:p>
        </w:tc>
      </w:tr>
      <w:tr w:rsidR="00741C3A" w:rsidRPr="00F64497" w14:paraId="362984DD" w14:textId="77777777" w:rsidTr="00AE12AA">
        <w:trPr>
          <w:trHeight w:val="998"/>
        </w:trPr>
        <w:tc>
          <w:tcPr>
            <w:tcW w:w="993" w:type="dxa"/>
          </w:tcPr>
          <w:p w14:paraId="490AA03F" w14:textId="77777777" w:rsidR="00741C3A" w:rsidRPr="00F64497" w:rsidRDefault="00000000" w:rsidP="00AE12AA">
            <w:pPr>
              <w:spacing w:after="60"/>
              <w:rPr>
                <w:rFonts w:ascii="Arial" w:hAnsi="Arial" w:cs="Arial"/>
                <w:color w:val="000000"/>
                <w:sz w:val="20"/>
                <w:szCs w:val="20"/>
              </w:rPr>
            </w:pPr>
            <w:hyperlink r:id="rId10" w:history="1">
              <w:r w:rsidR="00741C3A" w:rsidRPr="00F64497">
                <w:rPr>
                  <w:rStyle w:val="Hyperlink"/>
                  <w:rFonts w:ascii="Arial" w:hAnsi="Arial" w:cs="Arial"/>
                  <w:sz w:val="20"/>
                  <w:szCs w:val="20"/>
                </w:rPr>
                <w:t>NM77</w:t>
              </w:r>
            </w:hyperlink>
          </w:p>
        </w:tc>
        <w:tc>
          <w:tcPr>
            <w:tcW w:w="4962" w:type="dxa"/>
          </w:tcPr>
          <w:p w14:paraId="37B26628" w14:textId="77777777" w:rsidR="00741C3A" w:rsidRPr="00F64497" w:rsidRDefault="00741C3A" w:rsidP="00AE12AA">
            <w:pPr>
              <w:spacing w:after="60"/>
              <w:rPr>
                <w:rFonts w:ascii="Arial" w:hAnsi="Arial" w:cs="Arial"/>
                <w:color w:val="000000"/>
                <w:sz w:val="20"/>
                <w:szCs w:val="20"/>
              </w:rPr>
            </w:pPr>
            <w:r w:rsidRPr="00F64497">
              <w:rPr>
                <w:rFonts w:ascii="Arial" w:hAnsi="Arial" w:cs="Arial"/>
                <w:color w:val="000000"/>
                <w:sz w:val="20"/>
                <w:szCs w:val="20"/>
              </w:rPr>
              <w:t>The percentage of patients with a new diagnosis of hypertension in the preceding 1st April to 31st March who have a record of a 12 lead ECG performed in the 3 months before or after the date of entry to the hypertension register</w:t>
            </w:r>
          </w:p>
        </w:tc>
        <w:tc>
          <w:tcPr>
            <w:tcW w:w="1978" w:type="dxa"/>
          </w:tcPr>
          <w:p w14:paraId="5205DB21" w14:textId="77777777" w:rsidR="00741C3A" w:rsidRPr="00F64497" w:rsidRDefault="00741C3A" w:rsidP="00AE12AA">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45B46F95" w14:textId="77777777" w:rsidR="00741C3A" w:rsidRPr="00F64497" w:rsidRDefault="00741C3A" w:rsidP="00AE12AA">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2023</w:t>
            </w:r>
          </w:p>
        </w:tc>
      </w:tr>
      <w:tr w:rsidR="00741C3A" w14:paraId="401D5B7F" w14:textId="77777777" w:rsidTr="00AE12AA">
        <w:tblPrEx>
          <w:tblLook w:val="04A0" w:firstRow="1" w:lastRow="0" w:firstColumn="1" w:lastColumn="0" w:noHBand="0" w:noVBand="1"/>
        </w:tblPrEx>
        <w:trPr>
          <w:trHeight w:val="994"/>
        </w:trPr>
        <w:tc>
          <w:tcPr>
            <w:tcW w:w="993" w:type="dxa"/>
          </w:tcPr>
          <w:p w14:paraId="71DAF50A" w14:textId="77777777" w:rsidR="00741C3A" w:rsidRDefault="00000000" w:rsidP="00AE12AA">
            <w:pPr>
              <w:spacing w:after="60"/>
            </w:pPr>
            <w:hyperlink r:id="rId11" w:history="1">
              <w:r w:rsidR="00741C3A" w:rsidRPr="00F64497">
                <w:rPr>
                  <w:rStyle w:val="Hyperlink"/>
                  <w:rFonts w:ascii="Arial" w:hAnsi="Arial" w:cs="Arial"/>
                  <w:sz w:val="20"/>
                  <w:szCs w:val="20"/>
                </w:rPr>
                <w:t>NM112</w:t>
              </w:r>
            </w:hyperlink>
          </w:p>
        </w:tc>
        <w:tc>
          <w:tcPr>
            <w:tcW w:w="4962" w:type="dxa"/>
          </w:tcPr>
          <w:p w14:paraId="77F769E7" w14:textId="77777777" w:rsidR="00741C3A" w:rsidRPr="00F64497" w:rsidRDefault="00741C3A" w:rsidP="00AE12AA">
            <w:pPr>
              <w:spacing w:after="60"/>
              <w:rPr>
                <w:rFonts w:ascii="Arial" w:hAnsi="Arial" w:cs="Arial"/>
                <w:color w:val="000000"/>
                <w:sz w:val="20"/>
                <w:szCs w:val="20"/>
              </w:rPr>
            </w:pPr>
            <w:r w:rsidRPr="00F64497">
              <w:rPr>
                <w:rFonts w:ascii="Arial" w:hAnsi="Arial" w:cs="Arial"/>
                <w:color w:val="000000"/>
                <w:sz w:val="20"/>
                <w:szCs w:val="20"/>
              </w:rPr>
              <w:t>The percentage of patients diagnosed with hypertension (diagnosed on or after 1 April 2009) who are given lifestyle advice in the preceding 12 months for: smoking cessation, safe alcohol consumption and healthy diet</w:t>
            </w:r>
          </w:p>
        </w:tc>
        <w:tc>
          <w:tcPr>
            <w:tcW w:w="1978" w:type="dxa"/>
          </w:tcPr>
          <w:p w14:paraId="69A6CB0F" w14:textId="77777777" w:rsidR="00741C3A" w:rsidRDefault="00741C3A" w:rsidP="00AE12AA">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3EC9004D" w14:textId="77777777" w:rsidR="00741C3A" w:rsidRDefault="00741C3A" w:rsidP="00AE12AA">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2023</w:t>
            </w:r>
          </w:p>
        </w:tc>
      </w:tr>
      <w:tr w:rsidR="00741C3A" w14:paraId="10E719F5" w14:textId="77777777" w:rsidTr="00AE12AA">
        <w:tblPrEx>
          <w:tblLook w:val="04A0" w:firstRow="1" w:lastRow="0" w:firstColumn="1" w:lastColumn="0" w:noHBand="0" w:noVBand="1"/>
        </w:tblPrEx>
        <w:trPr>
          <w:trHeight w:val="994"/>
        </w:trPr>
        <w:tc>
          <w:tcPr>
            <w:tcW w:w="993" w:type="dxa"/>
          </w:tcPr>
          <w:p w14:paraId="414BE297" w14:textId="77777777" w:rsidR="00741C3A" w:rsidRDefault="00000000" w:rsidP="00AE12AA">
            <w:pPr>
              <w:spacing w:after="60"/>
            </w:pPr>
            <w:hyperlink r:id="rId12" w:history="1">
              <w:r w:rsidR="00741C3A" w:rsidRPr="00F64497">
                <w:rPr>
                  <w:rStyle w:val="Hyperlink"/>
                  <w:rFonts w:ascii="Arial" w:hAnsi="Arial" w:cs="Arial"/>
                  <w:sz w:val="20"/>
                  <w:szCs w:val="20"/>
                </w:rPr>
                <w:t>NM132</w:t>
              </w:r>
            </w:hyperlink>
          </w:p>
        </w:tc>
        <w:tc>
          <w:tcPr>
            <w:tcW w:w="4962" w:type="dxa"/>
          </w:tcPr>
          <w:p w14:paraId="17409153" w14:textId="77777777" w:rsidR="00741C3A" w:rsidRPr="00F64497" w:rsidRDefault="00741C3A" w:rsidP="00AE12AA">
            <w:pPr>
              <w:spacing w:after="60"/>
              <w:rPr>
                <w:rFonts w:ascii="Arial" w:hAnsi="Arial" w:cs="Arial"/>
                <w:sz w:val="20"/>
                <w:szCs w:val="20"/>
              </w:rPr>
            </w:pPr>
            <w:r w:rsidRPr="00F64497">
              <w:rPr>
                <w:rFonts w:ascii="Arial" w:hAnsi="Arial" w:cs="Arial"/>
                <w:sz w:val="20"/>
                <w:szCs w:val="20"/>
              </w:rPr>
              <w:t>The percentage of patients aged 25–84, years with a new diagnosis of hypertension or type 2 diabetes, recorded between the preceding 1 April to 31 March (excluding those with pre-existing CHD, stroke and/or TIA) who have had a consultation for cardiovascular risk assessment using the QRISK2 risk assessment tool between 3 months before or 3 months after date of diagnosis</w:t>
            </w:r>
          </w:p>
        </w:tc>
        <w:tc>
          <w:tcPr>
            <w:tcW w:w="1978" w:type="dxa"/>
          </w:tcPr>
          <w:p w14:paraId="2313E828" w14:textId="77777777" w:rsidR="00741C3A" w:rsidRDefault="00741C3A" w:rsidP="00AE12AA">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4DBE198D" w14:textId="77777777" w:rsidR="00741C3A" w:rsidRDefault="00741C3A" w:rsidP="00AE12AA">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2023</w:t>
            </w:r>
          </w:p>
        </w:tc>
      </w:tr>
      <w:tr w:rsidR="00741C3A" w:rsidRPr="00F64497" w14:paraId="02AC1379" w14:textId="77777777" w:rsidTr="00AE12AA">
        <w:tblPrEx>
          <w:tblLook w:val="04A0" w:firstRow="1" w:lastRow="0" w:firstColumn="1" w:lastColumn="0" w:noHBand="0" w:noVBand="1"/>
        </w:tblPrEx>
        <w:trPr>
          <w:trHeight w:val="994"/>
        </w:trPr>
        <w:tc>
          <w:tcPr>
            <w:tcW w:w="993" w:type="dxa"/>
          </w:tcPr>
          <w:p w14:paraId="0CDB766B" w14:textId="77777777" w:rsidR="00741C3A" w:rsidRPr="00F64497" w:rsidRDefault="00000000" w:rsidP="00AE12AA">
            <w:pPr>
              <w:spacing w:after="60"/>
              <w:rPr>
                <w:rFonts w:ascii="Arial" w:hAnsi="Arial" w:cs="Arial"/>
                <w:sz w:val="20"/>
                <w:szCs w:val="20"/>
              </w:rPr>
            </w:pPr>
            <w:hyperlink r:id="rId13" w:history="1">
              <w:r w:rsidR="00741C3A" w:rsidRPr="00F64497">
                <w:rPr>
                  <w:rStyle w:val="Hyperlink"/>
                  <w:rFonts w:ascii="Arial" w:hAnsi="Arial" w:cs="Arial"/>
                  <w:sz w:val="20"/>
                  <w:szCs w:val="20"/>
                </w:rPr>
                <w:t>NM133</w:t>
              </w:r>
            </w:hyperlink>
          </w:p>
        </w:tc>
        <w:tc>
          <w:tcPr>
            <w:tcW w:w="4962" w:type="dxa"/>
          </w:tcPr>
          <w:p w14:paraId="5A5A9301" w14:textId="77777777" w:rsidR="00741C3A" w:rsidRPr="00F64497" w:rsidRDefault="00741C3A" w:rsidP="00AE12AA">
            <w:pPr>
              <w:spacing w:after="60"/>
              <w:rPr>
                <w:rFonts w:ascii="Arial" w:hAnsi="Arial" w:cs="Arial"/>
                <w:sz w:val="20"/>
                <w:szCs w:val="20"/>
              </w:rPr>
            </w:pPr>
            <w:r w:rsidRPr="00F64497">
              <w:rPr>
                <w:rFonts w:ascii="Arial" w:hAnsi="Arial" w:cs="Arial"/>
                <w:sz w:val="20"/>
                <w:szCs w:val="20"/>
              </w:rPr>
              <w:t xml:space="preserve">In those patients with a new diagnosis of hypertension or type 2 diabetes aged 25-84 years, recorded between the preceding 1 April to 31 March (excluding those with pre-existing CHD, stroke and/or TIA), who have a recorded CVD risk assessment score (using the QRISK2 assessment tool) of </w:t>
            </w:r>
            <w:r>
              <w:rPr>
                <w:rFonts w:ascii="Arial" w:hAnsi="Arial" w:cs="Arial"/>
                <w:sz w:val="20"/>
                <w:szCs w:val="20"/>
              </w:rPr>
              <w:t xml:space="preserve">greater </w:t>
            </w:r>
            <w:r>
              <w:rPr>
                <w:rFonts w:ascii="Arial" w:hAnsi="Arial" w:cs="Arial"/>
                <w:sz w:val="20"/>
                <w:szCs w:val="20"/>
              </w:rPr>
              <w:lastRenderedPageBreak/>
              <w:t xml:space="preserve">than </w:t>
            </w:r>
            <w:r w:rsidRPr="00F64497">
              <w:rPr>
                <w:rFonts w:ascii="Arial" w:hAnsi="Arial" w:cs="Arial"/>
                <w:sz w:val="20"/>
                <w:szCs w:val="20"/>
              </w:rPr>
              <w:t>20</w:t>
            </w:r>
            <w:r>
              <w:rPr>
                <w:rFonts w:ascii="Arial" w:hAnsi="Arial" w:cs="Arial"/>
                <w:sz w:val="20"/>
                <w:szCs w:val="20"/>
              </w:rPr>
              <w:t xml:space="preserve"> percent</w:t>
            </w:r>
            <w:r w:rsidRPr="00F64497">
              <w:rPr>
                <w:rFonts w:ascii="Arial" w:hAnsi="Arial" w:cs="Arial"/>
                <w:sz w:val="20"/>
                <w:szCs w:val="20"/>
              </w:rPr>
              <w:t xml:space="preserve"> in the preceding 12 months: the percentage who are currently treated with statins (unless there is a contraindication)</w:t>
            </w:r>
          </w:p>
        </w:tc>
        <w:tc>
          <w:tcPr>
            <w:tcW w:w="1978" w:type="dxa"/>
          </w:tcPr>
          <w:p w14:paraId="5FC666AD" w14:textId="77777777" w:rsidR="00741C3A" w:rsidRPr="00F64497" w:rsidRDefault="00741C3A" w:rsidP="00AE12AA">
            <w:pPr>
              <w:spacing w:after="60"/>
              <w:rPr>
                <w:rFonts w:ascii="Arial" w:hAnsi="Arial" w:cs="Arial"/>
                <w:strike/>
                <w:sz w:val="20"/>
                <w:szCs w:val="20"/>
              </w:rPr>
            </w:pPr>
            <w:r>
              <w:rPr>
                <w:rFonts w:ascii="Arial" w:hAnsi="Arial" w:cs="Arial"/>
                <w:sz w:val="20"/>
                <w:szCs w:val="20"/>
              </w:rPr>
              <w:lastRenderedPageBreak/>
              <w:t>General practice indicator suitable for use in the QOF</w:t>
            </w:r>
          </w:p>
        </w:tc>
        <w:tc>
          <w:tcPr>
            <w:tcW w:w="1843" w:type="dxa"/>
          </w:tcPr>
          <w:p w14:paraId="595DE877" w14:textId="77777777" w:rsidR="00741C3A" w:rsidRPr="00F64497" w:rsidRDefault="00741C3A" w:rsidP="00AE12AA">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2023</w:t>
            </w:r>
          </w:p>
        </w:tc>
      </w:tr>
      <w:tr w:rsidR="00741C3A" w:rsidRPr="00F64497" w14:paraId="0E12F2A6" w14:textId="77777777" w:rsidTr="00AE12AA">
        <w:tblPrEx>
          <w:tblLook w:val="04A0" w:firstRow="1" w:lastRow="0" w:firstColumn="1" w:lastColumn="0" w:noHBand="0" w:noVBand="1"/>
        </w:tblPrEx>
        <w:trPr>
          <w:trHeight w:val="994"/>
        </w:trPr>
        <w:tc>
          <w:tcPr>
            <w:tcW w:w="993" w:type="dxa"/>
          </w:tcPr>
          <w:p w14:paraId="1E73AE33" w14:textId="77777777" w:rsidR="00741C3A" w:rsidRDefault="00000000" w:rsidP="00AE12AA">
            <w:pPr>
              <w:spacing w:after="60"/>
            </w:pPr>
            <w:hyperlink r:id="rId14" w:history="1">
              <w:r w:rsidR="00741C3A" w:rsidRPr="00533A61">
                <w:rPr>
                  <w:rStyle w:val="Hyperlink"/>
                  <w:rFonts w:ascii="Arial" w:hAnsi="Arial" w:cs="Arial"/>
                  <w:sz w:val="20"/>
                  <w:szCs w:val="20"/>
                </w:rPr>
                <w:t>NM175</w:t>
              </w:r>
            </w:hyperlink>
          </w:p>
        </w:tc>
        <w:tc>
          <w:tcPr>
            <w:tcW w:w="4962" w:type="dxa"/>
          </w:tcPr>
          <w:p w14:paraId="56EE9892" w14:textId="77777777" w:rsidR="00741C3A" w:rsidRPr="00C53BE0" w:rsidRDefault="00741C3A" w:rsidP="00AE12AA">
            <w:pPr>
              <w:spacing w:after="60"/>
              <w:rPr>
                <w:rFonts w:ascii="Arial" w:hAnsi="Arial" w:cs="Arial"/>
                <w:sz w:val="20"/>
                <w:szCs w:val="20"/>
              </w:rPr>
            </w:pPr>
            <w:r w:rsidRPr="007B5E74">
              <w:rPr>
                <w:rFonts w:ascii="Arial" w:hAnsi="Arial" w:cs="Arial"/>
                <w:sz w:val="20"/>
                <w:szCs w:val="20"/>
              </w:rPr>
              <w:t xml:space="preserve">The percentage of patients with a new diagnosis of hypertension in the preceding 12 months who have been screened for </w:t>
            </w:r>
            <w:r>
              <w:rPr>
                <w:rFonts w:ascii="Arial" w:hAnsi="Arial" w:cs="Arial"/>
                <w:sz w:val="20"/>
                <w:szCs w:val="20"/>
              </w:rPr>
              <w:t>hazardous</w:t>
            </w:r>
            <w:r w:rsidRPr="007B5E74">
              <w:rPr>
                <w:rFonts w:ascii="Arial" w:hAnsi="Arial" w:cs="Arial"/>
                <w:sz w:val="20"/>
                <w:szCs w:val="20"/>
              </w:rPr>
              <w:t xml:space="preserve"> drinking using the FAST or AUDIT-C tool in the 3 months before or after the date of entry on the hypertension register.</w:t>
            </w:r>
          </w:p>
        </w:tc>
        <w:tc>
          <w:tcPr>
            <w:tcW w:w="1978" w:type="dxa"/>
          </w:tcPr>
          <w:p w14:paraId="1A5FF2CE" w14:textId="77777777" w:rsidR="00741C3A" w:rsidRDefault="00741C3A" w:rsidP="00AE12AA">
            <w:pPr>
              <w:spacing w:after="60"/>
              <w:rPr>
                <w:rFonts w:ascii="Arial" w:hAnsi="Arial" w:cs="Arial"/>
                <w:sz w:val="20"/>
                <w:szCs w:val="20"/>
              </w:rPr>
            </w:pPr>
            <w:r w:rsidRPr="00E8684E">
              <w:rPr>
                <w:rFonts w:ascii="Arial" w:hAnsi="Arial" w:cs="Arial"/>
                <w:sz w:val="20"/>
                <w:szCs w:val="20"/>
              </w:rPr>
              <w:t>General practice indicator suitable for use in the QOF</w:t>
            </w:r>
          </w:p>
        </w:tc>
        <w:tc>
          <w:tcPr>
            <w:tcW w:w="1843" w:type="dxa"/>
          </w:tcPr>
          <w:p w14:paraId="6DF29389" w14:textId="77777777" w:rsidR="00741C3A" w:rsidRPr="00F64497" w:rsidRDefault="00741C3A" w:rsidP="00AE12AA">
            <w:pPr>
              <w:spacing w:after="60"/>
              <w:rPr>
                <w:rFonts w:ascii="Arial" w:hAnsi="Arial" w:cs="Arial"/>
                <w:sz w:val="20"/>
                <w:szCs w:val="20"/>
              </w:rPr>
            </w:pPr>
            <w:r>
              <w:rPr>
                <w:rFonts w:ascii="Arial" w:hAnsi="Arial" w:cs="Arial"/>
                <w:sz w:val="20"/>
                <w:szCs w:val="20"/>
              </w:rPr>
              <w:t>August</w:t>
            </w:r>
            <w:r w:rsidRPr="00562165">
              <w:rPr>
                <w:rFonts w:ascii="Arial" w:hAnsi="Arial" w:cs="Arial"/>
                <w:sz w:val="20"/>
                <w:szCs w:val="20"/>
              </w:rPr>
              <w:t xml:space="preserve"> 2023</w:t>
            </w:r>
          </w:p>
        </w:tc>
      </w:tr>
      <w:tr w:rsidR="00741C3A" w:rsidRPr="00F64497" w14:paraId="4E32DBF0" w14:textId="77777777" w:rsidTr="00AE12AA">
        <w:tblPrEx>
          <w:tblLook w:val="04A0" w:firstRow="1" w:lastRow="0" w:firstColumn="1" w:lastColumn="0" w:noHBand="0" w:noVBand="1"/>
        </w:tblPrEx>
        <w:trPr>
          <w:trHeight w:val="994"/>
        </w:trPr>
        <w:tc>
          <w:tcPr>
            <w:tcW w:w="993" w:type="dxa"/>
          </w:tcPr>
          <w:p w14:paraId="07F371CC" w14:textId="77777777" w:rsidR="00741C3A" w:rsidRDefault="00000000" w:rsidP="00AE12AA">
            <w:pPr>
              <w:spacing w:after="60"/>
            </w:pPr>
            <w:hyperlink r:id="rId15" w:history="1">
              <w:r w:rsidR="00741C3A" w:rsidRPr="00533A61">
                <w:rPr>
                  <w:rStyle w:val="Hyperlink"/>
                  <w:rFonts w:ascii="Arial" w:hAnsi="Arial" w:cs="Arial"/>
                  <w:sz w:val="20"/>
                  <w:szCs w:val="20"/>
                </w:rPr>
                <w:t>NM176</w:t>
              </w:r>
            </w:hyperlink>
          </w:p>
        </w:tc>
        <w:tc>
          <w:tcPr>
            <w:tcW w:w="4962" w:type="dxa"/>
          </w:tcPr>
          <w:p w14:paraId="21614806" w14:textId="77777777" w:rsidR="00741C3A" w:rsidRPr="00C53BE0" w:rsidRDefault="00741C3A" w:rsidP="00AE12AA">
            <w:pPr>
              <w:spacing w:after="60"/>
              <w:rPr>
                <w:rFonts w:ascii="Arial" w:hAnsi="Arial" w:cs="Arial"/>
                <w:sz w:val="20"/>
                <w:szCs w:val="20"/>
              </w:rPr>
            </w:pPr>
            <w:r w:rsidRPr="007B5E74">
              <w:rPr>
                <w:rFonts w:ascii="Arial" w:hAnsi="Arial" w:cs="Arial"/>
                <w:sz w:val="20"/>
                <w:szCs w:val="20"/>
              </w:rPr>
              <w:t xml:space="preserve">The percentage of patients with a new diagnosis of hypertension in the preceding 12 months with a FAST score of </w:t>
            </w:r>
            <w:r>
              <w:rPr>
                <w:rFonts w:ascii="Arial" w:hAnsi="Arial" w:cs="Arial"/>
                <w:sz w:val="20"/>
                <w:szCs w:val="20"/>
              </w:rPr>
              <w:t xml:space="preserve">greater or equal to </w:t>
            </w:r>
            <w:r w:rsidRPr="007B5E74">
              <w:rPr>
                <w:rFonts w:ascii="Arial" w:hAnsi="Arial" w:cs="Arial"/>
                <w:sz w:val="20"/>
                <w:szCs w:val="20"/>
              </w:rPr>
              <w:t xml:space="preserve">3 or AUDIT-C score of </w:t>
            </w:r>
            <w:r>
              <w:rPr>
                <w:rFonts w:ascii="Arial" w:hAnsi="Arial" w:cs="Arial"/>
                <w:sz w:val="20"/>
                <w:szCs w:val="20"/>
              </w:rPr>
              <w:t xml:space="preserve">greater or equal to </w:t>
            </w:r>
            <w:r w:rsidRPr="007B5E74">
              <w:rPr>
                <w:rFonts w:ascii="Arial" w:hAnsi="Arial" w:cs="Arial"/>
                <w:sz w:val="20"/>
                <w:szCs w:val="20"/>
              </w:rPr>
              <w:t>5 who have received brief intervention to help them reduce their alcohol related risk within 3 months of the score being recorded.</w:t>
            </w:r>
          </w:p>
        </w:tc>
        <w:tc>
          <w:tcPr>
            <w:tcW w:w="1978" w:type="dxa"/>
          </w:tcPr>
          <w:p w14:paraId="2C14C867" w14:textId="77777777" w:rsidR="00741C3A" w:rsidRDefault="00741C3A" w:rsidP="00AE12AA">
            <w:pPr>
              <w:spacing w:after="60"/>
              <w:rPr>
                <w:rFonts w:ascii="Arial" w:hAnsi="Arial" w:cs="Arial"/>
                <w:sz w:val="20"/>
                <w:szCs w:val="20"/>
              </w:rPr>
            </w:pPr>
            <w:r w:rsidRPr="00E8684E">
              <w:rPr>
                <w:rFonts w:ascii="Arial" w:hAnsi="Arial" w:cs="Arial"/>
                <w:sz w:val="20"/>
                <w:szCs w:val="20"/>
              </w:rPr>
              <w:t>General practice indicator suitable for use in the QOF</w:t>
            </w:r>
          </w:p>
        </w:tc>
        <w:tc>
          <w:tcPr>
            <w:tcW w:w="1843" w:type="dxa"/>
          </w:tcPr>
          <w:p w14:paraId="3458D011" w14:textId="77777777" w:rsidR="00741C3A" w:rsidRPr="00F64497" w:rsidRDefault="00741C3A" w:rsidP="00AE12AA">
            <w:pPr>
              <w:spacing w:after="60"/>
              <w:rPr>
                <w:rFonts w:ascii="Arial" w:hAnsi="Arial" w:cs="Arial"/>
                <w:sz w:val="20"/>
                <w:szCs w:val="20"/>
              </w:rPr>
            </w:pPr>
            <w:r>
              <w:rPr>
                <w:rFonts w:ascii="Arial" w:hAnsi="Arial" w:cs="Arial"/>
                <w:sz w:val="20"/>
                <w:szCs w:val="20"/>
              </w:rPr>
              <w:t>August</w:t>
            </w:r>
            <w:r w:rsidRPr="00562165">
              <w:rPr>
                <w:rFonts w:ascii="Arial" w:hAnsi="Arial" w:cs="Arial"/>
                <w:sz w:val="20"/>
                <w:szCs w:val="20"/>
              </w:rPr>
              <w:t xml:space="preserve"> 2023</w:t>
            </w:r>
          </w:p>
        </w:tc>
      </w:tr>
      <w:tr w:rsidR="00741C3A" w14:paraId="7EE9B343" w14:textId="77777777" w:rsidTr="00AE12AA">
        <w:tblPrEx>
          <w:tblLook w:val="04A0" w:firstRow="1" w:lastRow="0" w:firstColumn="1" w:lastColumn="0" w:noHBand="0" w:noVBand="1"/>
        </w:tblPrEx>
        <w:trPr>
          <w:trHeight w:val="994"/>
        </w:trPr>
        <w:tc>
          <w:tcPr>
            <w:tcW w:w="993" w:type="dxa"/>
          </w:tcPr>
          <w:p w14:paraId="102C7622" w14:textId="77777777" w:rsidR="00741C3A" w:rsidRDefault="00000000" w:rsidP="00AE12AA">
            <w:pPr>
              <w:spacing w:after="60"/>
            </w:pPr>
            <w:hyperlink r:id="rId16" w:history="1">
              <w:r w:rsidR="00741C3A" w:rsidRPr="00A343B6">
                <w:rPr>
                  <w:rStyle w:val="Hyperlink"/>
                  <w:rFonts w:ascii="Arial" w:hAnsi="Arial" w:cs="Arial"/>
                  <w:sz w:val="20"/>
                  <w:szCs w:val="20"/>
                </w:rPr>
                <w:t>NM203</w:t>
              </w:r>
            </w:hyperlink>
          </w:p>
        </w:tc>
        <w:tc>
          <w:tcPr>
            <w:tcW w:w="4962" w:type="dxa"/>
          </w:tcPr>
          <w:p w14:paraId="14BCB811" w14:textId="77777777" w:rsidR="00741C3A" w:rsidRPr="00F95351" w:rsidRDefault="00741C3A" w:rsidP="00AE12AA">
            <w:pPr>
              <w:spacing w:after="60"/>
              <w:rPr>
                <w:rFonts w:ascii="Arial" w:hAnsi="Arial" w:cs="Arial"/>
                <w:sz w:val="20"/>
                <w:szCs w:val="20"/>
              </w:rPr>
            </w:pPr>
            <w:r w:rsidRPr="00F95351">
              <w:rPr>
                <w:rFonts w:ascii="Arial" w:hAnsi="Arial" w:cs="Arial"/>
                <w:sz w:val="20"/>
                <w:szCs w:val="20"/>
              </w:rPr>
              <w:t xml:space="preserve">The percentage of patients with hypertension or diabetes and a BMI </w:t>
            </w:r>
            <w:r>
              <w:rPr>
                <w:rFonts w:ascii="Arial" w:hAnsi="Arial" w:cs="Arial"/>
                <w:sz w:val="20"/>
                <w:szCs w:val="20"/>
              </w:rPr>
              <w:t xml:space="preserve">greater or equal to </w:t>
            </w:r>
            <w:r w:rsidRPr="00F95351">
              <w:rPr>
                <w:rFonts w:ascii="Arial" w:hAnsi="Arial" w:cs="Arial"/>
                <w:sz w:val="20"/>
                <w:szCs w:val="20"/>
              </w:rPr>
              <w:t xml:space="preserve">27.5 kg/m2 (or </w:t>
            </w:r>
            <w:r>
              <w:rPr>
                <w:rFonts w:ascii="Arial" w:hAnsi="Arial" w:cs="Arial"/>
                <w:sz w:val="20"/>
                <w:szCs w:val="20"/>
              </w:rPr>
              <w:t xml:space="preserve">greater or equal to </w:t>
            </w:r>
            <w:r w:rsidRPr="00F95351">
              <w:rPr>
                <w:rFonts w:ascii="Arial" w:hAnsi="Arial" w:cs="Arial"/>
                <w:sz w:val="20"/>
                <w:szCs w:val="20"/>
              </w:rPr>
              <w:t>30 kg/m2 if ethnicity is recorded as White) in the preceding 12 months who have been referred to a weight management programme within 90 days of the BMI being recorded</w:t>
            </w:r>
          </w:p>
        </w:tc>
        <w:tc>
          <w:tcPr>
            <w:tcW w:w="1978" w:type="dxa"/>
          </w:tcPr>
          <w:p w14:paraId="26EE231E" w14:textId="77777777" w:rsidR="00741C3A" w:rsidRPr="00E8684E" w:rsidRDefault="00741C3A" w:rsidP="00AE12AA">
            <w:pPr>
              <w:spacing w:after="60"/>
              <w:rPr>
                <w:rFonts w:ascii="Arial" w:hAnsi="Arial" w:cs="Arial"/>
                <w:sz w:val="20"/>
                <w:szCs w:val="20"/>
              </w:rPr>
            </w:pPr>
            <w:r w:rsidRPr="00E8684E">
              <w:rPr>
                <w:rFonts w:ascii="Arial" w:hAnsi="Arial" w:cs="Arial"/>
                <w:sz w:val="20"/>
                <w:szCs w:val="20"/>
              </w:rPr>
              <w:t>General practice indicator suitable for use in the QOF</w:t>
            </w:r>
          </w:p>
        </w:tc>
        <w:tc>
          <w:tcPr>
            <w:tcW w:w="1843" w:type="dxa"/>
          </w:tcPr>
          <w:p w14:paraId="18C5FF8E" w14:textId="77777777" w:rsidR="00741C3A" w:rsidRDefault="00741C3A" w:rsidP="00AE12AA">
            <w:pPr>
              <w:spacing w:after="60"/>
              <w:rPr>
                <w:rFonts w:ascii="Arial" w:hAnsi="Arial" w:cs="Arial"/>
                <w:sz w:val="20"/>
                <w:szCs w:val="20"/>
              </w:rPr>
            </w:pPr>
            <w:r>
              <w:rPr>
                <w:rFonts w:ascii="Arial" w:hAnsi="Arial" w:cs="Arial"/>
                <w:sz w:val="20"/>
                <w:szCs w:val="20"/>
              </w:rPr>
              <w:t>August</w:t>
            </w:r>
            <w:r w:rsidRPr="00562165">
              <w:rPr>
                <w:rFonts w:ascii="Arial" w:hAnsi="Arial" w:cs="Arial"/>
                <w:sz w:val="20"/>
                <w:szCs w:val="20"/>
              </w:rPr>
              <w:t xml:space="preserve"> 2023</w:t>
            </w:r>
          </w:p>
        </w:tc>
      </w:tr>
      <w:tr w:rsidR="00741C3A" w:rsidRPr="00912D21" w14:paraId="76EF508A" w14:textId="77777777" w:rsidTr="00AE12AA">
        <w:tblPrEx>
          <w:tblLook w:val="04A0" w:firstRow="1" w:lastRow="0" w:firstColumn="1" w:lastColumn="0" w:noHBand="0" w:noVBand="1"/>
        </w:tblPrEx>
        <w:trPr>
          <w:trHeight w:val="994"/>
        </w:trPr>
        <w:tc>
          <w:tcPr>
            <w:tcW w:w="993" w:type="dxa"/>
          </w:tcPr>
          <w:p w14:paraId="668F18E2" w14:textId="77777777" w:rsidR="00741C3A" w:rsidRPr="00912D21" w:rsidRDefault="00000000" w:rsidP="00AE12AA">
            <w:pPr>
              <w:spacing w:after="60"/>
              <w:rPr>
                <w:rFonts w:ascii="Arial" w:hAnsi="Arial" w:cs="Arial"/>
                <w:sz w:val="20"/>
                <w:szCs w:val="20"/>
              </w:rPr>
            </w:pPr>
            <w:hyperlink r:id="rId17" w:history="1">
              <w:r w:rsidR="00741C3A" w:rsidRPr="00912D21">
                <w:rPr>
                  <w:rStyle w:val="Hyperlink"/>
                  <w:rFonts w:ascii="Arial" w:hAnsi="Arial" w:cs="Arial"/>
                  <w:sz w:val="20"/>
                  <w:szCs w:val="20"/>
                </w:rPr>
                <w:t>NM223</w:t>
              </w:r>
            </w:hyperlink>
          </w:p>
        </w:tc>
        <w:tc>
          <w:tcPr>
            <w:tcW w:w="4962" w:type="dxa"/>
          </w:tcPr>
          <w:p w14:paraId="1ABA8692" w14:textId="77777777" w:rsidR="00741C3A" w:rsidRPr="00912D21" w:rsidRDefault="00741C3A" w:rsidP="00AE12AA">
            <w:pPr>
              <w:spacing w:after="60"/>
              <w:rPr>
                <w:rFonts w:ascii="Arial" w:hAnsi="Arial" w:cs="Arial"/>
                <w:sz w:val="20"/>
                <w:szCs w:val="20"/>
              </w:rPr>
            </w:pPr>
            <w:r w:rsidRPr="00912D21">
              <w:rPr>
                <w:rFonts w:ascii="Arial" w:hAnsi="Arial" w:cs="Arial"/>
                <w:sz w:val="20"/>
                <w:szCs w:val="20"/>
              </w:rPr>
              <w:t>The percentage of patients aged 79 years or under with hypertension in whom the last blood pressure reading (measured in the preceding 12 months) is less than 135/85 mmHg if using ambulatory or home monitoring, or less than 140/90 mmHg if monitored in clinic</w:t>
            </w:r>
          </w:p>
        </w:tc>
        <w:tc>
          <w:tcPr>
            <w:tcW w:w="1978" w:type="dxa"/>
          </w:tcPr>
          <w:p w14:paraId="00C95B2C" w14:textId="77777777" w:rsidR="00741C3A" w:rsidRPr="00912D21" w:rsidRDefault="00741C3A" w:rsidP="00AE12AA">
            <w:pPr>
              <w:spacing w:after="60"/>
              <w:rPr>
                <w:rFonts w:ascii="Arial" w:hAnsi="Arial" w:cs="Arial"/>
                <w:sz w:val="20"/>
                <w:szCs w:val="20"/>
              </w:rPr>
            </w:pPr>
            <w:r w:rsidRPr="00912D21">
              <w:rPr>
                <w:rFonts w:ascii="Arial" w:hAnsi="Arial" w:cs="Arial"/>
                <w:sz w:val="20"/>
                <w:szCs w:val="20"/>
              </w:rPr>
              <w:t>General practice indicator suitable for use in the QOF</w:t>
            </w:r>
          </w:p>
        </w:tc>
        <w:tc>
          <w:tcPr>
            <w:tcW w:w="1843" w:type="dxa"/>
          </w:tcPr>
          <w:p w14:paraId="47BB4914" w14:textId="77777777" w:rsidR="00741C3A" w:rsidRPr="00912D21" w:rsidRDefault="00741C3A" w:rsidP="00AE12AA">
            <w:pPr>
              <w:spacing w:after="60"/>
              <w:rPr>
                <w:rFonts w:ascii="Arial" w:hAnsi="Arial" w:cs="Arial"/>
                <w:sz w:val="20"/>
                <w:szCs w:val="20"/>
              </w:rPr>
            </w:pPr>
            <w:r>
              <w:rPr>
                <w:rFonts w:ascii="Arial" w:hAnsi="Arial" w:cs="Arial"/>
                <w:sz w:val="20"/>
                <w:szCs w:val="20"/>
              </w:rPr>
              <w:t>August 2025</w:t>
            </w:r>
          </w:p>
        </w:tc>
      </w:tr>
      <w:tr w:rsidR="00741C3A" w:rsidRPr="00912D21" w14:paraId="5FD7F1CC" w14:textId="77777777" w:rsidTr="00AE12AA">
        <w:tblPrEx>
          <w:tblLook w:val="04A0" w:firstRow="1" w:lastRow="0" w:firstColumn="1" w:lastColumn="0" w:noHBand="0" w:noVBand="1"/>
        </w:tblPrEx>
        <w:trPr>
          <w:trHeight w:val="994"/>
        </w:trPr>
        <w:tc>
          <w:tcPr>
            <w:tcW w:w="993" w:type="dxa"/>
          </w:tcPr>
          <w:p w14:paraId="55F1C65A" w14:textId="77777777" w:rsidR="00741C3A" w:rsidRPr="00912D21" w:rsidRDefault="00000000" w:rsidP="00AE12AA">
            <w:pPr>
              <w:spacing w:after="60"/>
              <w:rPr>
                <w:rFonts w:ascii="Arial" w:hAnsi="Arial" w:cs="Arial"/>
                <w:sz w:val="20"/>
                <w:szCs w:val="20"/>
              </w:rPr>
            </w:pPr>
            <w:hyperlink r:id="rId18" w:history="1">
              <w:r w:rsidR="00741C3A" w:rsidRPr="0052480E">
                <w:rPr>
                  <w:rStyle w:val="Hyperlink"/>
                  <w:rFonts w:ascii="Arial" w:hAnsi="Arial" w:cs="Arial"/>
                  <w:sz w:val="20"/>
                  <w:szCs w:val="20"/>
                </w:rPr>
                <w:t>NM224</w:t>
              </w:r>
            </w:hyperlink>
          </w:p>
        </w:tc>
        <w:tc>
          <w:tcPr>
            <w:tcW w:w="4962" w:type="dxa"/>
          </w:tcPr>
          <w:p w14:paraId="37534D3A" w14:textId="77777777" w:rsidR="00741C3A" w:rsidRPr="00912D21" w:rsidRDefault="00741C3A" w:rsidP="00AE12AA">
            <w:pPr>
              <w:spacing w:after="60"/>
              <w:rPr>
                <w:rFonts w:ascii="Arial" w:hAnsi="Arial" w:cs="Arial"/>
                <w:sz w:val="20"/>
                <w:szCs w:val="20"/>
              </w:rPr>
            </w:pPr>
            <w:r w:rsidRPr="00912D21">
              <w:rPr>
                <w:rFonts w:ascii="Arial" w:hAnsi="Arial" w:cs="Arial"/>
                <w:sz w:val="20"/>
                <w:szCs w:val="20"/>
              </w:rPr>
              <w:t>The percentage of patients aged 80 years or over with hypertension in whom the last blood pressure reading (measured in the preceding 12 months) is less than 145/85 mmHg if using ambulatory or home monitoring, or less than 150/90 mmHg if monitored in clinic.</w:t>
            </w:r>
          </w:p>
        </w:tc>
        <w:tc>
          <w:tcPr>
            <w:tcW w:w="1978" w:type="dxa"/>
          </w:tcPr>
          <w:p w14:paraId="11C67E71" w14:textId="77777777" w:rsidR="00741C3A" w:rsidRPr="00912D21" w:rsidRDefault="00741C3A" w:rsidP="00AE12AA">
            <w:pPr>
              <w:spacing w:after="60"/>
              <w:rPr>
                <w:rFonts w:ascii="Arial" w:hAnsi="Arial" w:cs="Arial"/>
                <w:sz w:val="20"/>
                <w:szCs w:val="20"/>
              </w:rPr>
            </w:pPr>
            <w:r w:rsidRPr="00912D21">
              <w:rPr>
                <w:rFonts w:ascii="Arial" w:hAnsi="Arial" w:cs="Arial"/>
                <w:sz w:val="20"/>
                <w:szCs w:val="20"/>
              </w:rPr>
              <w:t>General practice indicator suitable for use in the QOF</w:t>
            </w:r>
          </w:p>
        </w:tc>
        <w:tc>
          <w:tcPr>
            <w:tcW w:w="1843" w:type="dxa"/>
          </w:tcPr>
          <w:p w14:paraId="06ED7CC3" w14:textId="77777777" w:rsidR="00741C3A" w:rsidRPr="00912D21" w:rsidRDefault="00741C3A" w:rsidP="00AE12AA">
            <w:pPr>
              <w:spacing w:after="60"/>
              <w:rPr>
                <w:rFonts w:ascii="Arial" w:hAnsi="Arial" w:cs="Arial"/>
                <w:sz w:val="20"/>
                <w:szCs w:val="20"/>
              </w:rPr>
            </w:pPr>
            <w:r>
              <w:rPr>
                <w:rFonts w:ascii="Arial" w:hAnsi="Arial" w:cs="Arial"/>
                <w:sz w:val="20"/>
                <w:szCs w:val="20"/>
              </w:rPr>
              <w:t>August 2025</w:t>
            </w:r>
          </w:p>
        </w:tc>
      </w:tr>
    </w:tbl>
    <w:p w14:paraId="7A63F859" w14:textId="77777777" w:rsidR="002C613C" w:rsidRDefault="002C613C"/>
    <w:sectPr w:rsidR="002C61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3A"/>
    <w:rsid w:val="002C613C"/>
    <w:rsid w:val="00741C3A"/>
    <w:rsid w:val="00A27C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81BB1"/>
  <w15:chartTrackingRefBased/>
  <w15:docId w15:val="{7D97E451-EFF4-46B3-B642-CB961CBD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C3A"/>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741C3A"/>
    <w:pPr>
      <w:keepNext/>
      <w:spacing w:before="240" w:after="60" w:line="360" w:lineRule="auto"/>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1C3A"/>
    <w:rPr>
      <w:rFonts w:ascii="Arial" w:eastAsia="Times New Roman" w:hAnsi="Arial" w:cs="Arial"/>
      <w:b/>
      <w:bCs/>
      <w:i/>
      <w:iCs/>
      <w:sz w:val="28"/>
      <w:szCs w:val="28"/>
      <w:lang w:val="en-GB"/>
    </w:rPr>
  </w:style>
  <w:style w:type="character" w:styleId="Hyperlink">
    <w:name w:val="Hyperlink"/>
    <w:basedOn w:val="DefaultParagraphFont"/>
    <w:uiPriority w:val="99"/>
    <w:rsid w:val="00741C3A"/>
    <w:rPr>
      <w:color w:val="0563C1" w:themeColor="hyperlink"/>
      <w:u w:val="single"/>
    </w:rPr>
  </w:style>
  <w:style w:type="table" w:styleId="TableGrid">
    <w:name w:val="Table Grid"/>
    <w:basedOn w:val="TableNormal"/>
    <w:rsid w:val="00741C3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qofindicators/the-percentage-of-patients-with-a-new-diagnosis-of-hypertension-in-the-preceding-1st-april-to-31st-march-who-have-a-record-of-urinary-albumin-creatinine-ratio-test-in-the-three-months-before-or-after-the-date-of-entry-to-the-hypertension-register" TargetMode="External"/><Relationship Id="rId13" Type="http://schemas.openxmlformats.org/officeDocument/2006/relationships/hyperlink" Target="https://www.nice.org.uk/standards-and-indicators/qofindicators/in-those-patients-with-a-new-diagnosis-of-hypertension-or-type-2-diabetes-aged-25-84-years-recorded-between-the-preceding-1-april-to-31-march-excluding-those-with-pre-existing-chd-diabetes-stroke-and-or-tia-who-have-a-recorded-cvd-risk-assessment-nm133" TargetMode="External"/><Relationship Id="rId18" Type="http://schemas.openxmlformats.org/officeDocument/2006/relationships/hyperlink" Target="https://www.nice.org.uk/standards-and-indicators/qofindicators/the-percentage-of-patients-aged-80-years-or-over-with-hypertension-in-whom-the-last-blood-pressure-reading-measured-in-the-preceding-12-months-is-less-than-145-85-mmhg-if-using-ambulatory-or-home-monitoring-or-less-than-150-90-mmhg-if-monitored-in-clinic" TargetMode="External"/><Relationship Id="rId3" Type="http://schemas.openxmlformats.org/officeDocument/2006/relationships/webSettings" Target="webSettings.xml"/><Relationship Id="rId7" Type="http://schemas.openxmlformats.org/officeDocument/2006/relationships/hyperlink" Target="https://www.nice.org.uk/standards-and-indicators/qofindicators/the-percentage-of-patients-with-a-new-diagnosis-of-hypertension-diagnosed-on-or-after-1-april-2014-which-has-been-confirmed-by-ambulatory-blood-pressure-monitoring-abpm-or-home-blood-pressure-monitoring-hbpm-in-the-three-months-before-entering-on-to-the-r" TargetMode="External"/><Relationship Id="rId12" Type="http://schemas.openxmlformats.org/officeDocument/2006/relationships/hyperlink" Target="https://www.nice.org.uk/standards-and-indicators/qofindicators/the-percentage-of-patients-aged-25%E2%80%9384-years-with-a-new-diagnosis-of-hypertension-or-type-2-diabetes-recorded-between-the-preceding-1-april-to-31-march-excluding-those-with-pre-existing-chd-type1-diabetes-stroke-and-or-tia-who-have-had-a-consultation-nm132" TargetMode="External"/><Relationship Id="rId17" Type="http://schemas.openxmlformats.org/officeDocument/2006/relationships/hyperlink" Target="https://www.nice.org.uk/standards-and-indicators/qofindicators/the-percentage-of-patients-aged-79-years-or-under-with-hypertension-in-whom-the-last-blood-pressure-reading-measured-in-the-preceding-12-months-is-less-than-135-85-mmhg-if-using-ambulatory-or-home-monitoring-or-less-than-140-90-mmhg-if-monitored-in-clinic" TargetMode="External"/><Relationship Id="rId2" Type="http://schemas.openxmlformats.org/officeDocument/2006/relationships/settings" Target="settings.xml"/><Relationship Id="rId16" Type="http://schemas.openxmlformats.org/officeDocument/2006/relationships/hyperlink" Target="https://www.nice.org.uk/standards-and-indicators/qofindicators/the-percentage-of-patients-with-hypertension-or-diabetes-and-a-bmi-of-27-5-kg-m2-or-more-or-30-kg-m2-or-more-if-ethnicity-is-recorded-as-white-in-the-preceding-12-months-who-have-been-referred-to-a-weight-management-programme-within-90-days-of-the-bmi-bei"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ice.org.uk/standards-and-indicators/qofindicators/the-percentage-of-patients-aged-40-years-and-over-with-a-blood-pressure-measurement-recorded-in-the-preceding-5-years" TargetMode="External"/><Relationship Id="rId11" Type="http://schemas.openxmlformats.org/officeDocument/2006/relationships/hyperlink" Target="https://www.nice.org.uk/standards-and-indicators/qofindicators/the-percentage-of-patients-diagnosed-with-hypertension-diagnosed-on-or-after-1-april-2009-who-are-given-lifestyle-advice-in-the-preceding-12-months-for-smoking-cessation-safe-alcohol-consumption-and-healthy-diet" TargetMode="External"/><Relationship Id="rId5" Type="http://schemas.openxmlformats.org/officeDocument/2006/relationships/hyperlink" Target="https://www.nice.org.uk/standards-and-indicators/qofindicators/the-percentage-of-patients-with-hypertension-aged-16-to-74-years-who-score-less-than-active-on-gppaq-in-the-preceding-15-months-who-also-have-a-record-of-a-brief-intervention-in-the-preceding-15-months" TargetMode="External"/><Relationship Id="rId15" Type="http://schemas.openxmlformats.org/officeDocument/2006/relationships/hyperlink" Target="https://www.nice.org.uk/standards-and-indicators/qofindicators/the-percentage-of-patients-with-a-new-diagnosis-of-hypertension-in-the-preceding-12-months-with-a-fast-score-of-3-or-audit-c-score-of-5-who-have-received-brief-intervention-to-help-them-reduce-their-alcohol-related-risk-within-3-months-of-the-score-being-" TargetMode="External"/><Relationship Id="rId10" Type="http://schemas.openxmlformats.org/officeDocument/2006/relationships/hyperlink" Target="https://www.nice.org.uk/standards-and-indicators/qofindicators/the-percentage-of-patients-with-a-new-diagnosis-of-hypertension-in-the-preceding-1st-april-to-31st-march-who-have-a-record-of-a-12-lead-ecg-performed-in-the-three-months-before-or-after-the-date-of-entry-to-the-hypertension-register" TargetMode="External"/><Relationship Id="rId19" Type="http://schemas.openxmlformats.org/officeDocument/2006/relationships/fontTable" Target="fontTable.xml"/><Relationship Id="rId4" Type="http://schemas.openxmlformats.org/officeDocument/2006/relationships/hyperlink" Target="https://www.nice.org.uk/standards-and-indicators/qofindicators/the-percentage-of-patients-with-hypertension-aged-16-to-74-years-in-whom-there-is-an-annual-assessment-of-physical-activity-using-gppaq-in-the-preceding-15-months" TargetMode="External"/><Relationship Id="rId9" Type="http://schemas.openxmlformats.org/officeDocument/2006/relationships/hyperlink" Target="https://www.nice.org.uk/standards-and-indicators/qofindicators/the-percentage-of-patients-with-a-new-diagnosis-of-hypertension-in-the-preceding-1st-april-to-31st-march-who-have-a-record-of-a-test-for-haematuria-in-the-three-months-before-or-after-the-date-of-entry-to-the-hypertension-register" TargetMode="External"/><Relationship Id="rId14" Type="http://schemas.openxmlformats.org/officeDocument/2006/relationships/hyperlink" Target="https://www.nice.org.uk/standards-and-indicators/qofindicators/the-percentage-of-patients-with-a-new-diagnosis-of-hypertension-in-the-preceding-12-months-who-have-been-screened-for-unsafe-drinking-using-the-fast-or-audit-c-tool-in-the-3-months-before-or-after-the-date-of-entry-on-the-hypertension-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Cyprus</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Anneza Yiallourou</dc:creator>
  <cp:keywords/>
  <dc:description/>
  <cp:lastModifiedBy>Monika Kyriacou</cp:lastModifiedBy>
  <cp:revision>2</cp:revision>
  <dcterms:created xsi:type="dcterms:W3CDTF">2023-03-02T14:16:00Z</dcterms:created>
  <dcterms:modified xsi:type="dcterms:W3CDTF">2023-03-02T14:16:00Z</dcterms:modified>
</cp:coreProperties>
</file>