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44DA" w:rsidRPr="00F64497" w:rsidRDefault="00EE44DA" w:rsidP="00EE44DA">
      <w:pPr>
        <w:pStyle w:val="Heading2"/>
      </w:pPr>
      <w:bookmarkStart w:id="0" w:name="_Toc107844382"/>
      <w:bookmarkStart w:id="1" w:name="_Toc112236863"/>
      <w:bookmarkStart w:id="2" w:name="_Toc112414724"/>
      <w:bookmarkStart w:id="3" w:name="_Toc114053942"/>
      <w:bookmarkStart w:id="4" w:name="_Toc120282576"/>
      <w:r w:rsidRPr="00F64497">
        <w:t>Epilepsy</w:t>
      </w:r>
      <w:bookmarkEnd w:id="0"/>
      <w:bookmarkEnd w:id="1"/>
      <w:bookmarkEnd w:id="2"/>
      <w:bookmarkEnd w:id="3"/>
      <w:bookmarkEnd w:id="4"/>
    </w:p>
    <w:tbl>
      <w:tblPr>
        <w:tblStyle w:val="TableGrid"/>
        <w:tblW w:w="9776" w:type="dxa"/>
        <w:tblLook w:val="0420" w:firstRow="1" w:lastRow="0" w:firstColumn="0" w:lastColumn="0" w:noHBand="0" w:noVBand="1"/>
        <w:tblCaption w:val="Epilepsy GP indicators table"/>
        <w:tblDescription w:val="Table for Epilepsy GP indicators "/>
      </w:tblPr>
      <w:tblGrid>
        <w:gridCol w:w="993"/>
        <w:gridCol w:w="4962"/>
        <w:gridCol w:w="1701"/>
        <w:gridCol w:w="2120"/>
      </w:tblGrid>
      <w:tr w:rsidR="00EE44DA" w:rsidRPr="00F64497" w:rsidTr="00AE12AA">
        <w:trPr>
          <w:trHeight w:val="552"/>
        </w:trPr>
        <w:tc>
          <w:tcPr>
            <w:tcW w:w="993" w:type="dxa"/>
          </w:tcPr>
          <w:p w:rsidR="00EE44DA" w:rsidRPr="00F64497" w:rsidRDefault="00EE44DA" w:rsidP="00AE12AA">
            <w:pPr>
              <w:spacing w:after="60"/>
              <w:rPr>
                <w:rFonts w:ascii="Arial" w:hAnsi="Arial" w:cs="Arial"/>
                <w:sz w:val="20"/>
              </w:rPr>
            </w:pPr>
            <w:r w:rsidRPr="007D2FBE">
              <w:rPr>
                <w:rFonts w:ascii="Arial" w:hAnsi="Arial" w:cs="Arial"/>
                <w:b/>
                <w:bCs/>
                <w:sz w:val="20"/>
                <w:szCs w:val="20"/>
              </w:rPr>
              <w:t>ID</w:t>
            </w:r>
          </w:p>
        </w:tc>
        <w:tc>
          <w:tcPr>
            <w:tcW w:w="4962" w:type="dxa"/>
          </w:tcPr>
          <w:p w:rsidR="00EE44DA" w:rsidRPr="00F64497" w:rsidRDefault="00EE44DA" w:rsidP="00AE12AA">
            <w:pPr>
              <w:spacing w:after="60"/>
              <w:rPr>
                <w:rFonts w:ascii="Arial" w:hAnsi="Arial" w:cs="Arial"/>
                <w:sz w:val="20"/>
              </w:rPr>
            </w:pPr>
            <w:r w:rsidRPr="007D2FB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Indicator </w:t>
            </w:r>
          </w:p>
        </w:tc>
        <w:tc>
          <w:tcPr>
            <w:tcW w:w="1701" w:type="dxa"/>
          </w:tcPr>
          <w:p w:rsidR="00EE44DA" w:rsidRPr="00F64497" w:rsidRDefault="00EE44DA" w:rsidP="00AE12AA">
            <w:pPr>
              <w:spacing w:after="60"/>
              <w:rPr>
                <w:rFonts w:ascii="Arial" w:hAnsi="Arial" w:cs="Arial"/>
                <w:sz w:val="20"/>
              </w:rPr>
            </w:pPr>
            <w:r w:rsidRPr="007D2FBE">
              <w:rPr>
                <w:rFonts w:ascii="Arial" w:hAnsi="Arial" w:cs="Arial"/>
                <w:b/>
                <w:bCs/>
                <w:sz w:val="20"/>
                <w:szCs w:val="20"/>
              </w:rPr>
              <w:t>Indicator type</w:t>
            </w:r>
          </w:p>
        </w:tc>
        <w:tc>
          <w:tcPr>
            <w:tcW w:w="2120" w:type="dxa"/>
          </w:tcPr>
          <w:p w:rsidR="00EE44DA" w:rsidRPr="00F64497" w:rsidRDefault="00EE44DA" w:rsidP="00AE12AA">
            <w:pPr>
              <w:spacing w:after="60"/>
              <w:rPr>
                <w:rFonts w:ascii="Arial" w:hAnsi="Arial" w:cs="Arial"/>
                <w:sz w:val="20"/>
              </w:rPr>
            </w:pPr>
            <w:r w:rsidRPr="007D2FBE">
              <w:rPr>
                <w:rFonts w:ascii="Arial" w:hAnsi="Arial" w:cs="Arial"/>
                <w:b/>
                <w:bCs/>
                <w:sz w:val="20"/>
                <w:szCs w:val="20"/>
              </w:rPr>
              <w:t>Review date</w:t>
            </w:r>
          </w:p>
        </w:tc>
      </w:tr>
      <w:tr w:rsidR="00EE44DA" w:rsidRPr="00F64497" w:rsidTr="00AE12AA">
        <w:trPr>
          <w:trHeight w:val="812"/>
        </w:trPr>
        <w:tc>
          <w:tcPr>
            <w:tcW w:w="993" w:type="dxa"/>
          </w:tcPr>
          <w:p w:rsidR="00EE44DA" w:rsidRPr="00F64497" w:rsidRDefault="00000000" w:rsidP="00AE12AA">
            <w:pPr>
              <w:spacing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4" w:history="1">
              <w:r w:rsidR="00EE44DA" w:rsidRPr="00F64497">
                <w:rPr>
                  <w:rStyle w:val="Hyperlink"/>
                  <w:rFonts w:ascii="Arial" w:hAnsi="Arial" w:cs="Arial"/>
                  <w:sz w:val="20"/>
                  <w:szCs w:val="20"/>
                </w:rPr>
                <w:t>NM110</w:t>
              </w:r>
            </w:hyperlink>
          </w:p>
        </w:tc>
        <w:tc>
          <w:tcPr>
            <w:tcW w:w="4962" w:type="dxa"/>
          </w:tcPr>
          <w:p w:rsidR="00EE44DA" w:rsidRPr="00F64497" w:rsidRDefault="00EE44DA" w:rsidP="00AE12AA">
            <w:pPr>
              <w:spacing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4497">
              <w:rPr>
                <w:rFonts w:ascii="Arial" w:hAnsi="Arial" w:cs="Arial"/>
                <w:color w:val="000000"/>
                <w:sz w:val="20"/>
                <w:szCs w:val="20"/>
              </w:rPr>
              <w:t>The percentage of patients aged 18 or over on drug treatment for epilepsy who have been seizure free for the last 12 months recorded in the preceding 12 months</w:t>
            </w:r>
          </w:p>
        </w:tc>
        <w:tc>
          <w:tcPr>
            <w:tcW w:w="1701" w:type="dxa"/>
          </w:tcPr>
          <w:p w:rsidR="00EE44DA" w:rsidRPr="00F64497" w:rsidRDefault="00EE44DA" w:rsidP="00AE12AA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General practice indicator suitable for use in the QOF</w:t>
            </w:r>
          </w:p>
        </w:tc>
        <w:tc>
          <w:tcPr>
            <w:tcW w:w="2120" w:type="dxa"/>
          </w:tcPr>
          <w:p w:rsidR="00EE44DA" w:rsidRDefault="00EE44DA" w:rsidP="00AE12AA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562165">
              <w:rPr>
                <w:rFonts w:ascii="Arial" w:hAnsi="Arial" w:cs="Arial"/>
                <w:sz w:val="20"/>
                <w:szCs w:val="20"/>
              </w:rPr>
              <w:t>October 2023</w:t>
            </w:r>
          </w:p>
        </w:tc>
      </w:tr>
      <w:tr w:rsidR="00EE44DA" w:rsidRPr="00F64497" w:rsidTr="00AE12AA">
        <w:trPr>
          <w:trHeight w:val="812"/>
        </w:trPr>
        <w:tc>
          <w:tcPr>
            <w:tcW w:w="993" w:type="dxa"/>
          </w:tcPr>
          <w:p w:rsidR="00EE44DA" w:rsidRPr="007D2ED5" w:rsidRDefault="00000000" w:rsidP="00AE12AA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hyperlink r:id="rId5" w:history="1">
              <w:r w:rsidR="00EE44DA" w:rsidRPr="00383F88">
                <w:rPr>
                  <w:rStyle w:val="Hyperlink"/>
                  <w:rFonts w:ascii="Arial" w:hAnsi="Arial" w:cs="Arial"/>
                  <w:sz w:val="20"/>
                  <w:szCs w:val="20"/>
                </w:rPr>
                <w:t>NM209</w:t>
              </w:r>
            </w:hyperlink>
          </w:p>
        </w:tc>
        <w:tc>
          <w:tcPr>
            <w:tcW w:w="4962" w:type="dxa"/>
          </w:tcPr>
          <w:p w:rsidR="00EE44DA" w:rsidRPr="007D2ED5" w:rsidRDefault="00EE44DA" w:rsidP="00AE12AA">
            <w:pPr>
              <w:spacing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2ED5">
              <w:rPr>
                <w:rFonts w:ascii="Arial" w:hAnsi="Arial" w:cs="Arial"/>
                <w:sz w:val="20"/>
                <w:szCs w:val="20"/>
              </w:rPr>
              <w:t>The percentage of adults receiving drug treatment for epilepsy who had a structured review in the preceding 12 months.</w:t>
            </w:r>
          </w:p>
        </w:tc>
        <w:tc>
          <w:tcPr>
            <w:tcW w:w="1701" w:type="dxa"/>
          </w:tcPr>
          <w:p w:rsidR="00EE44DA" w:rsidRPr="007D2ED5" w:rsidRDefault="00EE44DA" w:rsidP="00AE12AA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General practice indicator suitable for use in the QOF</w:t>
            </w:r>
          </w:p>
        </w:tc>
        <w:tc>
          <w:tcPr>
            <w:tcW w:w="2120" w:type="dxa"/>
          </w:tcPr>
          <w:p w:rsidR="00EE44DA" w:rsidRPr="007D2ED5" w:rsidRDefault="00EE44DA" w:rsidP="00AE12AA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August 2025</w:t>
            </w:r>
          </w:p>
        </w:tc>
      </w:tr>
    </w:tbl>
    <w:tbl>
      <w:tblPr>
        <w:tblStyle w:val="TableGrid1"/>
        <w:tblW w:w="9776" w:type="dxa"/>
        <w:tblLook w:val="0420" w:firstRow="1" w:lastRow="0" w:firstColumn="0" w:lastColumn="0" w:noHBand="0" w:noVBand="1"/>
        <w:tblCaption w:val="Epilepsy GP indicators table"/>
        <w:tblDescription w:val="Table for Epilepsy GP indicators "/>
      </w:tblPr>
      <w:tblGrid>
        <w:gridCol w:w="993"/>
        <w:gridCol w:w="4962"/>
        <w:gridCol w:w="1701"/>
        <w:gridCol w:w="2120"/>
      </w:tblGrid>
      <w:tr w:rsidR="00A55CF6" w:rsidRPr="00562165" w:rsidTr="00AE12AA">
        <w:trPr>
          <w:trHeight w:val="962"/>
        </w:trPr>
        <w:tc>
          <w:tcPr>
            <w:tcW w:w="993" w:type="dxa"/>
          </w:tcPr>
          <w:p w:rsidR="00A55CF6" w:rsidRPr="00F64497" w:rsidRDefault="00000000" w:rsidP="00AE12AA">
            <w:pPr>
              <w:spacing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6" w:history="1">
              <w:r w:rsidR="00A55CF6" w:rsidRPr="00F64497">
                <w:rPr>
                  <w:rStyle w:val="Hyperlink"/>
                  <w:rFonts w:ascii="Arial" w:hAnsi="Arial" w:cs="Arial"/>
                  <w:sz w:val="20"/>
                  <w:szCs w:val="20"/>
                </w:rPr>
                <w:t>NM03</w:t>
              </w:r>
            </w:hyperlink>
          </w:p>
        </w:tc>
        <w:tc>
          <w:tcPr>
            <w:tcW w:w="4962" w:type="dxa"/>
          </w:tcPr>
          <w:p w:rsidR="00A55CF6" w:rsidRPr="009C6FBD" w:rsidRDefault="00A55CF6" w:rsidP="00AE12AA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9C6FBD">
              <w:rPr>
                <w:rFonts w:ascii="Arial" w:hAnsi="Arial" w:cs="Arial"/>
                <w:sz w:val="20"/>
                <w:szCs w:val="20"/>
              </w:rPr>
              <w:t>The percentage of women under the age of 55 years who are taking antiseizure medications who have a record of information and counselling about contraception, conception and pregnancy in the preceding 12 months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.</w:t>
            </w:r>
          </w:p>
        </w:tc>
        <w:tc>
          <w:tcPr>
            <w:tcW w:w="1701" w:type="dxa"/>
          </w:tcPr>
          <w:p w:rsidR="00A55CF6" w:rsidRPr="00F64497" w:rsidRDefault="00A55CF6" w:rsidP="00AE12AA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General practice indicator suitable for use </w:t>
            </w:r>
            <w:r w:rsidRPr="00C92A83">
              <w:rPr>
                <w:rFonts w:ascii="Arial" w:hAnsi="Arial" w:cs="Arial"/>
                <w:sz w:val="20"/>
                <w:szCs w:val="20"/>
              </w:rPr>
              <w:t>outside of the QOF</w:t>
            </w:r>
          </w:p>
        </w:tc>
        <w:tc>
          <w:tcPr>
            <w:tcW w:w="2120" w:type="dxa"/>
          </w:tcPr>
          <w:p w:rsidR="00A55CF6" w:rsidRPr="00562165" w:rsidRDefault="00A55CF6" w:rsidP="00AE12AA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562165">
              <w:rPr>
                <w:rFonts w:ascii="Arial" w:hAnsi="Arial" w:cs="Arial"/>
                <w:sz w:val="20"/>
                <w:szCs w:val="20"/>
              </w:rPr>
              <w:t>October 2023</w:t>
            </w:r>
          </w:p>
        </w:tc>
      </w:tr>
      <w:tr w:rsidR="00A55CF6" w:rsidRPr="00F64497" w:rsidTr="00AE12AA">
        <w:trPr>
          <w:trHeight w:val="1134"/>
        </w:trPr>
        <w:tc>
          <w:tcPr>
            <w:tcW w:w="993" w:type="dxa"/>
          </w:tcPr>
          <w:p w:rsidR="00A55CF6" w:rsidRPr="00F64497" w:rsidRDefault="00000000" w:rsidP="00AE12AA">
            <w:pPr>
              <w:spacing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7" w:history="1">
              <w:r w:rsidR="00A55CF6" w:rsidRPr="00F64497">
                <w:rPr>
                  <w:rStyle w:val="Hyperlink"/>
                  <w:rFonts w:ascii="Arial" w:hAnsi="Arial" w:cs="Arial"/>
                  <w:sz w:val="20"/>
                  <w:szCs w:val="20"/>
                </w:rPr>
                <w:t>NM71</w:t>
              </w:r>
            </w:hyperlink>
          </w:p>
        </w:tc>
        <w:tc>
          <w:tcPr>
            <w:tcW w:w="4962" w:type="dxa"/>
          </w:tcPr>
          <w:p w:rsidR="00A55CF6" w:rsidRPr="009C6FBD" w:rsidRDefault="00A55CF6" w:rsidP="00AE12AA">
            <w:pPr>
              <w:spacing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C6FBD">
              <w:rPr>
                <w:rFonts w:ascii="Arial" w:hAnsi="Arial" w:cs="Arial"/>
                <w:sz w:val="20"/>
                <w:szCs w:val="20"/>
              </w:rPr>
              <w:t>The percentage of women with epilepsy who are aged 18 or over, but under 45, who are taking antiseizure medications and have a record of being given information and advice in the previous 12 months about pregnancy or conception, or contraception tailored to their pregnancy and contraceptive intentions.</w:t>
            </w:r>
          </w:p>
        </w:tc>
        <w:tc>
          <w:tcPr>
            <w:tcW w:w="1701" w:type="dxa"/>
          </w:tcPr>
          <w:p w:rsidR="00A55CF6" w:rsidRPr="00F64497" w:rsidRDefault="00A55CF6" w:rsidP="00AE12AA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General practice indicator suitable for use </w:t>
            </w:r>
            <w:r w:rsidRPr="00C92A83">
              <w:rPr>
                <w:rFonts w:ascii="Arial" w:hAnsi="Arial" w:cs="Arial"/>
                <w:sz w:val="20"/>
                <w:szCs w:val="20"/>
              </w:rPr>
              <w:t>outside of the QOF</w:t>
            </w:r>
          </w:p>
        </w:tc>
        <w:tc>
          <w:tcPr>
            <w:tcW w:w="2120" w:type="dxa"/>
          </w:tcPr>
          <w:p w:rsidR="00A55CF6" w:rsidRPr="00F64497" w:rsidRDefault="00A55CF6" w:rsidP="00AE12AA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562165">
              <w:rPr>
                <w:rFonts w:ascii="Arial" w:hAnsi="Arial" w:cs="Arial"/>
                <w:sz w:val="20"/>
                <w:szCs w:val="20"/>
              </w:rPr>
              <w:t>October 2023</w:t>
            </w:r>
          </w:p>
        </w:tc>
      </w:tr>
    </w:tbl>
    <w:p w:rsidR="002C613C" w:rsidRDefault="002C613C"/>
    <w:sectPr w:rsidR="002C613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4DA"/>
    <w:rsid w:val="002C613C"/>
    <w:rsid w:val="004917C4"/>
    <w:rsid w:val="00A55CF6"/>
    <w:rsid w:val="00EE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503C8C-96D1-463C-AE75-DE20385CE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qFormat/>
    <w:rsid w:val="00EE44DA"/>
    <w:pPr>
      <w:keepNext/>
      <w:spacing w:before="240" w:after="60" w:line="36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E44DA"/>
    <w:rPr>
      <w:rFonts w:ascii="Arial" w:eastAsia="Times New Roman" w:hAnsi="Arial" w:cs="Arial"/>
      <w:b/>
      <w:bCs/>
      <w:i/>
      <w:iCs/>
      <w:sz w:val="28"/>
      <w:szCs w:val="28"/>
      <w:lang w:val="en-GB"/>
    </w:rPr>
  </w:style>
  <w:style w:type="character" w:styleId="Hyperlink">
    <w:name w:val="Hyperlink"/>
    <w:basedOn w:val="DefaultParagraphFont"/>
    <w:uiPriority w:val="99"/>
    <w:rsid w:val="00EE44DA"/>
    <w:rPr>
      <w:color w:val="0563C1" w:themeColor="hyperlink"/>
      <w:u w:val="single"/>
    </w:rPr>
  </w:style>
  <w:style w:type="table" w:styleId="TableGrid">
    <w:name w:val="Table Grid"/>
    <w:basedOn w:val="TableNormal"/>
    <w:rsid w:val="00EE44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A55C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nice.org.uk/standards-and-indicators/qofindicators/the-percentage-of-women-with-epilepsy-aged-18-or-over-and-who-have-not-attained-the-age-of-45-who-are-taking-antiepileptic-drugs-who-have-a-record-of-being-given-information-and-advice-about-pregnancy-or-conception-or-contraception-tailored-to-their-preg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nice.org.uk/standards-and-indicators/qofindicators/the-percentage-of-women-under-the-age-of-55-years-who-are-taking-antiepileptic-drugs-who-have-a-record-of-information-and-counselling-about-contraception-conception-and-pregnancy-in-the-preceding-15-months" TargetMode="External"/><Relationship Id="rId5" Type="http://schemas.openxmlformats.org/officeDocument/2006/relationships/hyperlink" Target="https://www.nice.org.uk/standards-and-indicators/qofindicators/the-percentage-of-adults-receiving-drug-treatment-for-epilepsy-who-had-a-structured-review-in-the-preceding-12-months" TargetMode="External"/><Relationship Id="rId4" Type="http://schemas.openxmlformats.org/officeDocument/2006/relationships/hyperlink" Target="https://www.nice.org.uk/standards-and-indicators/qofindicators/the-percentage-of-patients-aged-18-or-over-on-drug-treatment-for-epilepsy-who-have-been-seizure-free-for-the-last-12-months-recorded-in-the-preceding-12-months-inherited-nm110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Cyprus</Company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Anneza Yiallourou</dc:creator>
  <cp:keywords/>
  <dc:description/>
  <cp:lastModifiedBy>Monika Kyriacou</cp:lastModifiedBy>
  <cp:revision>2</cp:revision>
  <dcterms:created xsi:type="dcterms:W3CDTF">2023-03-02T14:14:00Z</dcterms:created>
  <dcterms:modified xsi:type="dcterms:W3CDTF">2023-03-02T14:14:00Z</dcterms:modified>
</cp:coreProperties>
</file>