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284" w:rsidRPr="00FD11CD" w:rsidRDefault="00912284" w:rsidP="00912284">
      <w:pPr>
        <w:pStyle w:val="Heading2"/>
      </w:pPr>
      <w:bookmarkStart w:id="0" w:name="_Toc120282591"/>
      <w:r w:rsidRPr="00F64497">
        <w:t>Stroke and ischaemic attack</w:t>
      </w:r>
      <w:bookmarkEnd w:id="0"/>
    </w:p>
    <w:tbl>
      <w:tblPr>
        <w:tblStyle w:val="TableGrid"/>
        <w:tblW w:w="9776" w:type="dxa"/>
        <w:tblLook w:val="0420" w:firstRow="1" w:lastRow="0" w:firstColumn="0" w:lastColumn="0" w:noHBand="0" w:noVBand="1"/>
        <w:tblCaption w:val="Stroke and ischaemic attack GP indicators table"/>
        <w:tblDescription w:val="Table for Stroke and ischaemic attack GP indicators "/>
      </w:tblPr>
      <w:tblGrid>
        <w:gridCol w:w="1221"/>
        <w:gridCol w:w="4734"/>
        <w:gridCol w:w="1978"/>
        <w:gridCol w:w="1843"/>
      </w:tblGrid>
      <w:tr w:rsidR="00912284" w:rsidRPr="00F64497" w:rsidTr="00AE12AA">
        <w:trPr>
          <w:trHeight w:val="509"/>
        </w:trPr>
        <w:tc>
          <w:tcPr>
            <w:tcW w:w="1221" w:type="dxa"/>
          </w:tcPr>
          <w:p w:rsidR="00912284" w:rsidRPr="00EA7001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734" w:type="dxa"/>
          </w:tcPr>
          <w:p w:rsidR="00912284" w:rsidRPr="00EA7001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 </w:t>
            </w:r>
          </w:p>
        </w:tc>
        <w:tc>
          <w:tcPr>
            <w:tcW w:w="1978" w:type="dxa"/>
          </w:tcPr>
          <w:p w:rsidR="00912284" w:rsidRPr="00EA7001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Indicator type</w:t>
            </w:r>
          </w:p>
        </w:tc>
        <w:tc>
          <w:tcPr>
            <w:tcW w:w="1843" w:type="dxa"/>
          </w:tcPr>
          <w:p w:rsidR="00912284" w:rsidRPr="00EA7001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</w:tc>
      </w:tr>
      <w:tr w:rsidR="00912284" w:rsidRPr="00F64497" w:rsidTr="00AE12AA">
        <w:trPr>
          <w:trHeight w:val="1396"/>
        </w:trPr>
        <w:tc>
          <w:tcPr>
            <w:tcW w:w="1221" w:type="dxa"/>
          </w:tcPr>
          <w:p w:rsidR="00912284" w:rsidRPr="00F64497" w:rsidRDefault="0000000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" w:history="1">
              <w:r w:rsidR="00912284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NM94</w:t>
              </w:r>
            </w:hyperlink>
          </w:p>
        </w:tc>
        <w:tc>
          <w:tcPr>
            <w:tcW w:w="4734" w:type="dxa"/>
          </w:tcPr>
          <w:p w:rsidR="00912284" w:rsidRPr="00F64497" w:rsidRDefault="00912284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a stroke shown to be non-haemorrhagic, or a history of TIA, who have a record in the preceding 12 months that an anti-platelet agent, or an anti-coagulant is being taken</w:t>
            </w:r>
          </w:p>
        </w:tc>
        <w:tc>
          <w:tcPr>
            <w:tcW w:w="1978" w:type="dxa"/>
          </w:tcPr>
          <w:p w:rsidR="00912284" w:rsidRPr="00F64497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912284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12284" w:rsidRPr="00F64497" w:rsidTr="00AE12AA">
        <w:trPr>
          <w:trHeight w:val="1060"/>
        </w:trPr>
        <w:tc>
          <w:tcPr>
            <w:tcW w:w="1221" w:type="dxa"/>
          </w:tcPr>
          <w:p w:rsidR="00912284" w:rsidRDefault="00000000" w:rsidP="00AE12AA">
            <w:pPr>
              <w:spacing w:after="60"/>
            </w:pPr>
            <w:hyperlink r:id="rId6" w:history="1">
              <w:r w:rsidR="00912284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NM140</w:t>
              </w:r>
            </w:hyperlink>
          </w:p>
        </w:tc>
        <w:tc>
          <w:tcPr>
            <w:tcW w:w="4734" w:type="dxa"/>
          </w:tcPr>
          <w:p w:rsidR="00912284" w:rsidRPr="00F64497" w:rsidRDefault="00912284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stroke or TIA who have had influenza immunisation in the preceding 1 August to 31 March</w:t>
            </w:r>
          </w:p>
        </w:tc>
        <w:tc>
          <w:tcPr>
            <w:tcW w:w="1978" w:type="dxa"/>
          </w:tcPr>
          <w:p w:rsidR="00912284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912284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12284" w:rsidRPr="00F64497" w:rsidTr="00AE12AA">
        <w:trPr>
          <w:trHeight w:val="1396"/>
        </w:trPr>
        <w:tc>
          <w:tcPr>
            <w:tcW w:w="1221" w:type="dxa"/>
          </w:tcPr>
          <w:p w:rsidR="00912284" w:rsidRDefault="00000000" w:rsidP="00AE12AA">
            <w:pPr>
              <w:spacing w:after="60"/>
            </w:pPr>
            <w:hyperlink r:id="rId7" w:history="1">
              <w:r w:rsidR="00912284" w:rsidRPr="00A937FB">
                <w:rPr>
                  <w:rStyle w:val="Hyperlink"/>
                  <w:rFonts w:ascii="Arial" w:hAnsi="Arial" w:cs="Arial"/>
                  <w:sz w:val="20"/>
                  <w:szCs w:val="20"/>
                </w:rPr>
                <w:t>NM180</w:t>
              </w:r>
            </w:hyperlink>
          </w:p>
        </w:tc>
        <w:tc>
          <w:tcPr>
            <w:tcW w:w="4734" w:type="dxa"/>
          </w:tcPr>
          <w:p w:rsidR="00912284" w:rsidRPr="007B5E74" w:rsidRDefault="00912284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E74">
              <w:rPr>
                <w:rFonts w:ascii="Arial" w:hAnsi="Arial" w:cs="Arial"/>
                <w:sz w:val="20"/>
                <w:szCs w:val="20"/>
              </w:rPr>
              <w:t xml:space="preserve">The percentage of patients with one or more of the following conditions: CHD, atrial fibrillation, chronic heart failure, stroke or TIA, diabetes or dementia who have been screened for </w:t>
            </w:r>
            <w:r>
              <w:rPr>
                <w:rFonts w:ascii="Arial" w:hAnsi="Arial" w:cs="Arial"/>
                <w:sz w:val="20"/>
                <w:szCs w:val="20"/>
              </w:rPr>
              <w:t>hazardous</w:t>
            </w:r>
            <w:r w:rsidRPr="007B5E74">
              <w:rPr>
                <w:rFonts w:ascii="Arial" w:hAnsi="Arial" w:cs="Arial"/>
                <w:sz w:val="20"/>
                <w:szCs w:val="20"/>
              </w:rPr>
              <w:t xml:space="preserve"> drinking using the FAST or AUDIT-C tool in the preceding 2 years.</w:t>
            </w:r>
          </w:p>
        </w:tc>
        <w:tc>
          <w:tcPr>
            <w:tcW w:w="1978" w:type="dxa"/>
          </w:tcPr>
          <w:p w:rsidR="00912284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8684E"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912284" w:rsidRPr="00F64497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12284" w:rsidRPr="00F64497" w:rsidTr="00AE12AA">
        <w:trPr>
          <w:trHeight w:val="1396"/>
        </w:trPr>
        <w:tc>
          <w:tcPr>
            <w:tcW w:w="1221" w:type="dxa"/>
          </w:tcPr>
          <w:p w:rsidR="00912284" w:rsidRDefault="00000000" w:rsidP="00AE12AA">
            <w:pPr>
              <w:spacing w:after="60"/>
            </w:pPr>
            <w:hyperlink r:id="rId8" w:history="1">
              <w:r w:rsidR="00912284" w:rsidRPr="00A937FB">
                <w:rPr>
                  <w:rStyle w:val="Hyperlink"/>
                  <w:rFonts w:ascii="Arial" w:hAnsi="Arial" w:cs="Arial"/>
                  <w:sz w:val="20"/>
                  <w:szCs w:val="20"/>
                </w:rPr>
                <w:t>NM181</w:t>
              </w:r>
            </w:hyperlink>
          </w:p>
        </w:tc>
        <w:tc>
          <w:tcPr>
            <w:tcW w:w="4734" w:type="dxa"/>
          </w:tcPr>
          <w:p w:rsidR="00912284" w:rsidRPr="007A31DD" w:rsidRDefault="00912284" w:rsidP="00AE12AA">
            <w:pPr>
              <w:pStyle w:val="NICEnormal"/>
              <w:spacing w:after="60" w:line="240" w:lineRule="auto"/>
              <w:rPr>
                <w:rFonts w:cs="Arial"/>
                <w:sz w:val="20"/>
                <w:szCs w:val="20"/>
              </w:rPr>
            </w:pPr>
            <w:r w:rsidRPr="007A31DD">
              <w:rPr>
                <w:rFonts w:cs="Arial"/>
                <w:sz w:val="20"/>
                <w:szCs w:val="20"/>
              </w:rPr>
              <w:t xml:space="preserve">The percentage of patients with one or more of the following conditions: CHD, atrial fibrillation, chronic heart failure, stroke or TIA, diabetes or dementia with a FAST score of </w:t>
            </w:r>
            <w:r w:rsidRPr="00AE6CD5">
              <w:rPr>
                <w:rFonts w:cs="Arial"/>
                <w:sz w:val="20"/>
                <w:szCs w:val="20"/>
              </w:rPr>
              <w:t xml:space="preserve">greater than or equal to </w:t>
            </w:r>
            <w:r w:rsidRPr="007A31DD">
              <w:rPr>
                <w:rFonts w:cs="Arial"/>
                <w:sz w:val="20"/>
                <w:szCs w:val="20"/>
              </w:rPr>
              <w:t xml:space="preserve">3 or AUDIT-C score of </w:t>
            </w:r>
            <w:r w:rsidRPr="00AE6CD5">
              <w:rPr>
                <w:rFonts w:cs="Arial"/>
                <w:sz w:val="20"/>
                <w:szCs w:val="20"/>
              </w:rPr>
              <w:t xml:space="preserve">greater than or equal to </w:t>
            </w:r>
            <w:r w:rsidRPr="007A31DD">
              <w:rPr>
                <w:rFonts w:cs="Arial"/>
                <w:sz w:val="20"/>
                <w:szCs w:val="20"/>
              </w:rPr>
              <w:t>5 in the preceding 2 years who have received brief intervention to help them reduce their alcohol related risk within 3 months of the score being recorded.</w:t>
            </w:r>
          </w:p>
        </w:tc>
        <w:tc>
          <w:tcPr>
            <w:tcW w:w="1978" w:type="dxa"/>
          </w:tcPr>
          <w:p w:rsidR="00912284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912284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12284" w:rsidRPr="00F64497" w:rsidTr="00AE12AA">
        <w:trPr>
          <w:trHeight w:val="699"/>
        </w:trPr>
        <w:tc>
          <w:tcPr>
            <w:tcW w:w="1221" w:type="dxa"/>
          </w:tcPr>
          <w:p w:rsidR="00912284" w:rsidRPr="0052480E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734" w:type="dxa"/>
          </w:tcPr>
          <w:p w:rsidR="00912284" w:rsidRPr="0052480E" w:rsidRDefault="00912284" w:rsidP="00AE12AA">
            <w:pPr>
              <w:pStyle w:val="NICEnormal"/>
              <w:spacing w:after="60" w:line="240" w:lineRule="auto"/>
              <w:rPr>
                <w:rFonts w:cs="Arial"/>
                <w:sz w:val="20"/>
                <w:szCs w:val="20"/>
              </w:rPr>
            </w:pPr>
            <w:r w:rsidRPr="007D2FBE">
              <w:rPr>
                <w:rFonts w:cs="Arial"/>
                <w:b/>
                <w:bCs/>
                <w:sz w:val="20"/>
                <w:szCs w:val="20"/>
              </w:rPr>
              <w:t xml:space="preserve">Indicator </w:t>
            </w:r>
          </w:p>
        </w:tc>
        <w:tc>
          <w:tcPr>
            <w:tcW w:w="1978" w:type="dxa"/>
          </w:tcPr>
          <w:p w:rsidR="00912284" w:rsidRPr="0052480E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Indicator type</w:t>
            </w:r>
          </w:p>
        </w:tc>
        <w:tc>
          <w:tcPr>
            <w:tcW w:w="1843" w:type="dxa"/>
          </w:tcPr>
          <w:p w:rsidR="00912284" w:rsidRPr="0052480E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</w:tc>
      </w:tr>
      <w:tr w:rsidR="00912284" w:rsidRPr="00F64497" w:rsidTr="00AE12AA">
        <w:trPr>
          <w:trHeight w:val="1180"/>
        </w:trPr>
        <w:tc>
          <w:tcPr>
            <w:tcW w:w="1221" w:type="dxa"/>
          </w:tcPr>
          <w:p w:rsidR="00912284" w:rsidRDefault="00000000" w:rsidP="00AE12AA">
            <w:pPr>
              <w:spacing w:after="60"/>
            </w:pPr>
            <w:hyperlink r:id="rId9" w:history="1">
              <w:r w:rsidR="00912284" w:rsidRPr="0052480E">
                <w:rPr>
                  <w:rStyle w:val="Hyperlink"/>
                  <w:rFonts w:ascii="Arial" w:hAnsi="Arial" w:cs="Arial"/>
                  <w:sz w:val="20"/>
                  <w:szCs w:val="20"/>
                </w:rPr>
                <w:t>NM227</w:t>
              </w:r>
            </w:hyperlink>
          </w:p>
        </w:tc>
        <w:tc>
          <w:tcPr>
            <w:tcW w:w="4734" w:type="dxa"/>
          </w:tcPr>
          <w:p w:rsidR="00912284" w:rsidRPr="0052480E" w:rsidRDefault="00912284" w:rsidP="00AE12AA">
            <w:pPr>
              <w:pStyle w:val="NICEnormal"/>
              <w:spacing w:after="60" w:line="240" w:lineRule="auto"/>
              <w:rPr>
                <w:rFonts w:cs="Arial"/>
                <w:sz w:val="20"/>
                <w:szCs w:val="20"/>
              </w:rPr>
            </w:pPr>
            <w:r w:rsidRPr="0052480E">
              <w:rPr>
                <w:rFonts w:cs="Arial"/>
                <w:sz w:val="20"/>
                <w:szCs w:val="20"/>
              </w:rPr>
              <w:t>The percentage of patients aged 79 years or under with a history of stroke or TIA in whom the last blood pressure reading (measured in the preceding 12 months) is less than 135/85 mmHg if using ambulatory or home monitoring, or less than 140/90 mmHg if monitored in clinic.</w:t>
            </w:r>
          </w:p>
        </w:tc>
        <w:tc>
          <w:tcPr>
            <w:tcW w:w="1978" w:type="dxa"/>
          </w:tcPr>
          <w:p w:rsidR="00912284" w:rsidRPr="0052480E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2480E"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912284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2025</w:t>
            </w:r>
          </w:p>
        </w:tc>
      </w:tr>
      <w:tr w:rsidR="00912284" w:rsidRPr="00F64497" w:rsidTr="00AE12AA">
        <w:trPr>
          <w:trHeight w:val="1180"/>
        </w:trPr>
        <w:tc>
          <w:tcPr>
            <w:tcW w:w="1221" w:type="dxa"/>
          </w:tcPr>
          <w:p w:rsidR="00912284" w:rsidRPr="0052480E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912284" w:rsidRPr="0052480E">
                <w:rPr>
                  <w:rStyle w:val="Hyperlink"/>
                  <w:rFonts w:ascii="Arial" w:hAnsi="Arial" w:cs="Arial"/>
                  <w:sz w:val="20"/>
                  <w:szCs w:val="20"/>
                </w:rPr>
                <w:t>NM228</w:t>
              </w:r>
            </w:hyperlink>
          </w:p>
        </w:tc>
        <w:tc>
          <w:tcPr>
            <w:tcW w:w="4734" w:type="dxa"/>
          </w:tcPr>
          <w:p w:rsidR="00912284" w:rsidRPr="0052480E" w:rsidRDefault="00912284" w:rsidP="00AE12AA">
            <w:pPr>
              <w:pStyle w:val="NICEnormal"/>
              <w:spacing w:after="60" w:line="240" w:lineRule="auto"/>
              <w:rPr>
                <w:rFonts w:cs="Arial"/>
                <w:sz w:val="20"/>
                <w:szCs w:val="20"/>
              </w:rPr>
            </w:pPr>
            <w:r w:rsidRPr="0052480E">
              <w:rPr>
                <w:rFonts w:cs="Arial"/>
                <w:sz w:val="20"/>
                <w:szCs w:val="20"/>
              </w:rPr>
              <w:t>The percentage of patients aged 80 years or over with a history of stroke or TIA in whom the last blood pressure reading (measured in the preceding 12 months) is less than 145/85 mmHg if using ambulatory or home monitoring, or less than 150/90 mmHg if monitored in clinic</w:t>
            </w:r>
          </w:p>
        </w:tc>
        <w:tc>
          <w:tcPr>
            <w:tcW w:w="1978" w:type="dxa"/>
          </w:tcPr>
          <w:p w:rsidR="00912284" w:rsidRPr="0052480E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2480E"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912284" w:rsidRPr="0052480E" w:rsidRDefault="00912284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2025</w:t>
            </w:r>
          </w:p>
        </w:tc>
      </w:tr>
    </w:tbl>
    <w:tbl>
      <w:tblPr>
        <w:tblStyle w:val="TableGrid1"/>
        <w:tblW w:w="9781" w:type="dxa"/>
        <w:tblInd w:w="-5" w:type="dxa"/>
        <w:tblLook w:val="0420" w:firstRow="1" w:lastRow="0" w:firstColumn="0" w:lastColumn="0" w:noHBand="0" w:noVBand="1"/>
        <w:tblCaption w:val="Stroke and ischaemic attack GP indicators table"/>
        <w:tblDescription w:val="Table for Stroke and ischaemic attack GP indicators "/>
      </w:tblPr>
      <w:tblGrid>
        <w:gridCol w:w="1276"/>
        <w:gridCol w:w="4679"/>
        <w:gridCol w:w="1983"/>
        <w:gridCol w:w="1843"/>
      </w:tblGrid>
      <w:tr w:rsidR="001D5B57" w:rsidRPr="005D7485" w:rsidTr="001D5B57">
        <w:trPr>
          <w:trHeight w:val="6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000000" w:rsidP="00AE12A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1D5B57" w:rsidRPr="005D7485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CCG45</w:t>
              </w:r>
            </w:hyperlink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 xml:space="preserve">Mortality within 30 days of hospital admission for stroke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Clinical Commissioning Group Outcome Indicator 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1D5B57" w:rsidRPr="005D7485" w:rsidTr="001D5B57">
        <w:trPr>
          <w:trHeight w:val="7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000000" w:rsidP="00AE12AA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1D5B57" w:rsidRPr="005D7485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CCG46</w:t>
              </w:r>
            </w:hyperlink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Proportion of people who receive psychological support for mood, behaviour or cognitive disturbance 6 months after an admission to hospital with a stroke</w:t>
            </w:r>
          </w:p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Clinical Commissioning Group Outcome Indicator 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1D5B57" w:rsidRPr="005D7485" w:rsidTr="001D5B57">
        <w:trPr>
          <w:trHeight w:val="6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000000" w:rsidP="00AE12AA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1D5B57" w:rsidRPr="005D7485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CCG47</w:t>
              </w:r>
            </w:hyperlink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 xml:space="preserve">Proportion of people with stroke who receive joint health and social care plans on discharge from hospital </w:t>
            </w:r>
          </w:p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lastRenderedPageBreak/>
              <w:t xml:space="preserve">Clinical Commissioning </w:t>
            </w:r>
            <w:r w:rsidRPr="005D7485">
              <w:rPr>
                <w:rFonts w:ascii="Arial" w:hAnsi="Arial" w:cs="Arial"/>
                <w:sz w:val="20"/>
                <w:szCs w:val="20"/>
              </w:rPr>
              <w:lastRenderedPageBreak/>
              <w:t>Group Outcome Indicator 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lastRenderedPageBreak/>
              <w:t>October 2023</w:t>
            </w:r>
          </w:p>
        </w:tc>
      </w:tr>
      <w:tr w:rsidR="001D5B57" w:rsidRPr="005D7485" w:rsidTr="001D5B57">
        <w:trPr>
          <w:trHeight w:val="8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000000" w:rsidP="00AE12AA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1D5B57" w:rsidRPr="005D7485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CCG48</w:t>
              </w:r>
            </w:hyperlink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Proportion of people who had a stroke who are reviewed within 6 months of being admitted to hospital</w:t>
            </w:r>
          </w:p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Clinical Commissioning Group Outcome Indicator 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1D5B57" w:rsidRPr="005D7485" w:rsidTr="001D5B57">
        <w:trPr>
          <w:trHeight w:val="6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000000" w:rsidP="00AE12AA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1D5B57" w:rsidRPr="005D7485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CCG49</w:t>
              </w:r>
            </w:hyperlink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 xml:space="preserve">The proportion of people who had a stroke that are supported by a stroke skilled early supported discharge (ESD) team </w:t>
            </w:r>
          </w:p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Clinical Commissioning Group Outcome Indicator 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1D5B57" w:rsidRPr="005D7485" w:rsidTr="001D5B57">
        <w:trPr>
          <w:trHeight w:val="6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000000" w:rsidP="00AE12AA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1D5B57" w:rsidRPr="005D7485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CCG50</w:t>
              </w:r>
            </w:hyperlink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Proportion of people who have had an acute stroke who receive thrombolysis for stroke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Clinical Commissioning Group Outcome Indicator 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1D5B57" w:rsidRPr="005D7485" w:rsidTr="001D5B57">
        <w:trPr>
          <w:trHeight w:val="7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000000" w:rsidP="00AE12AA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1D5B57" w:rsidRPr="005D7485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CCG51</w:t>
              </w:r>
            </w:hyperlink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Proportion of people who have had or are having a stroke who are admitted to an acute stroke unit within 4 hours of arrival to hospital</w:t>
            </w:r>
          </w:p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Clinical Commissioning Group Outcome Indicator 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1D5B57" w:rsidRPr="005D7485" w:rsidTr="001D5B57">
        <w:trPr>
          <w:trHeight w:val="5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000000" w:rsidP="00AE12AA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1D5B57" w:rsidRPr="005D7485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CCG52</w:t>
              </w:r>
            </w:hyperlink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Proportion of patients who have had an acute stroke who spend 90% or more of their stay on a stroke unit</w:t>
            </w:r>
          </w:p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Clinical Commissioning Group Outcome Indicator 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1D5B57" w:rsidRPr="005D7485" w:rsidTr="001D5B57">
        <w:trPr>
          <w:trHeight w:val="8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000000" w:rsidP="00AE12AA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1D5B57" w:rsidRPr="005D7485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CCG53</w:t>
              </w:r>
            </w:hyperlink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 xml:space="preserve">The proportion of people who have had an acute stroke whose swallowing is screened by a specially trained healthcare professional within 4 hours of admission to hospital </w:t>
            </w:r>
          </w:p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Clinical Commissioning Group Outcome Indicator 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B57" w:rsidRPr="005D7485" w:rsidRDefault="001D5B57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</w:tbl>
    <w:tbl>
      <w:tblPr>
        <w:tblStyle w:val="TableGrid2"/>
        <w:tblW w:w="9776" w:type="dxa"/>
        <w:tblLook w:val="0420" w:firstRow="1" w:lastRow="0" w:firstColumn="0" w:lastColumn="0" w:noHBand="0" w:noVBand="1"/>
        <w:tblCaption w:val="Stroke and ischaemic attack GP indicators table"/>
        <w:tblDescription w:val="Table for Stroke and ischaemic attack GP indicators "/>
      </w:tblPr>
      <w:tblGrid>
        <w:gridCol w:w="1271"/>
        <w:gridCol w:w="4684"/>
        <w:gridCol w:w="1978"/>
        <w:gridCol w:w="1843"/>
      </w:tblGrid>
      <w:tr w:rsidR="009A6ECB" w:rsidRPr="00F14378" w:rsidTr="009A6ECB">
        <w:trPr>
          <w:trHeight w:val="690"/>
        </w:trPr>
        <w:tc>
          <w:tcPr>
            <w:tcW w:w="1271" w:type="dxa"/>
          </w:tcPr>
          <w:p w:rsidR="009A6ECB" w:rsidRPr="00F14378" w:rsidRDefault="00000000" w:rsidP="00AE12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0" w:history="1">
              <w:r w:rsidR="009A6ECB" w:rsidRPr="00EB4242">
                <w:rPr>
                  <w:rStyle w:val="Hyperlink"/>
                  <w:rFonts w:ascii="Arial" w:hAnsi="Arial" w:cs="Arial"/>
                  <w:sz w:val="20"/>
                  <w:szCs w:val="20"/>
                </w:rPr>
                <w:t>IAP00091</w:t>
              </w:r>
            </w:hyperlink>
          </w:p>
        </w:tc>
        <w:tc>
          <w:tcPr>
            <w:tcW w:w="4684" w:type="dxa"/>
          </w:tcPr>
          <w:p w:rsidR="009A6ECB" w:rsidRPr="00F14378" w:rsidRDefault="009A6ECB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F14378">
              <w:rPr>
                <w:rFonts w:ascii="Arial" w:hAnsi="Arial" w:cs="Arial"/>
                <w:sz w:val="20"/>
                <w:szCs w:val="20"/>
              </w:rPr>
              <w:t xml:space="preserve">Mortality rate within 30 days of hospital admission for stroke </w:t>
            </w:r>
          </w:p>
        </w:tc>
        <w:tc>
          <w:tcPr>
            <w:tcW w:w="1978" w:type="dxa"/>
          </w:tcPr>
          <w:p w:rsidR="009A6ECB" w:rsidRPr="00F14378" w:rsidRDefault="009A6ECB" w:rsidP="00AE12AA">
            <w:pPr>
              <w:keepNext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14378">
              <w:rPr>
                <w:rFonts w:ascii="Arial" w:hAnsi="Arial" w:cs="Arial"/>
                <w:sz w:val="20"/>
                <w:szCs w:val="20"/>
              </w:rPr>
              <w:t>National library indicator</w:t>
            </w:r>
          </w:p>
        </w:tc>
        <w:tc>
          <w:tcPr>
            <w:tcW w:w="1843" w:type="dxa"/>
          </w:tcPr>
          <w:p w:rsidR="009A6ECB" w:rsidRPr="00F14378" w:rsidRDefault="009A6ECB" w:rsidP="00AE12AA">
            <w:pPr>
              <w:pStyle w:val="Paragraph"/>
              <w:numPr>
                <w:ilvl w:val="0"/>
                <w:numId w:val="0"/>
              </w:numPr>
              <w:spacing w:after="0" w:line="240" w:lineRule="auto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June 2024</w:t>
            </w:r>
          </w:p>
        </w:tc>
      </w:tr>
      <w:tr w:rsidR="009A6ECB" w:rsidRPr="00F14378" w:rsidTr="009A6ECB">
        <w:trPr>
          <w:trHeight w:val="690"/>
        </w:trPr>
        <w:tc>
          <w:tcPr>
            <w:tcW w:w="1271" w:type="dxa"/>
          </w:tcPr>
          <w:p w:rsidR="009A6ECB" w:rsidRPr="00F14378" w:rsidRDefault="00000000" w:rsidP="00AE12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1" w:history="1">
              <w:r w:rsidR="009A6ECB" w:rsidRPr="00BC4662">
                <w:rPr>
                  <w:rStyle w:val="Hyperlink"/>
                  <w:rFonts w:ascii="Arial" w:hAnsi="Arial" w:cs="Arial"/>
                  <w:sz w:val="20"/>
                  <w:szCs w:val="20"/>
                </w:rPr>
                <w:t>IAP00335</w:t>
              </w:r>
            </w:hyperlink>
          </w:p>
        </w:tc>
        <w:tc>
          <w:tcPr>
            <w:tcW w:w="4684" w:type="dxa"/>
          </w:tcPr>
          <w:p w:rsidR="009A6ECB" w:rsidRPr="00F14378" w:rsidRDefault="009A6ECB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F14378">
              <w:rPr>
                <w:rFonts w:ascii="Arial" w:hAnsi="Arial" w:cs="Arial"/>
                <w:sz w:val="20"/>
                <w:szCs w:val="20"/>
              </w:rPr>
              <w:t>Patients who have had an acute stroke who spend 90% or more of their stay on a stroke unit</w:t>
            </w:r>
          </w:p>
        </w:tc>
        <w:tc>
          <w:tcPr>
            <w:tcW w:w="1978" w:type="dxa"/>
          </w:tcPr>
          <w:p w:rsidR="009A6ECB" w:rsidRPr="00F14378" w:rsidRDefault="009A6ECB" w:rsidP="00AE12AA">
            <w:pPr>
              <w:keepNext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14378">
              <w:rPr>
                <w:rFonts w:ascii="Arial" w:hAnsi="Arial" w:cs="Arial"/>
                <w:sz w:val="20"/>
                <w:szCs w:val="20"/>
              </w:rPr>
              <w:t>National library indicator</w:t>
            </w:r>
          </w:p>
        </w:tc>
        <w:tc>
          <w:tcPr>
            <w:tcW w:w="1843" w:type="dxa"/>
          </w:tcPr>
          <w:p w:rsidR="009A6ECB" w:rsidRPr="00F14378" w:rsidRDefault="009A6ECB" w:rsidP="00AE12AA">
            <w:pPr>
              <w:pStyle w:val="Paragraph"/>
              <w:numPr>
                <w:ilvl w:val="0"/>
                <w:numId w:val="0"/>
              </w:numPr>
              <w:spacing w:after="0" w:line="240" w:lineRule="auto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June 2024</w:t>
            </w:r>
          </w:p>
        </w:tc>
      </w:tr>
      <w:tr w:rsidR="009A6ECB" w:rsidRPr="00F14378" w:rsidTr="009A6ECB">
        <w:trPr>
          <w:trHeight w:val="690"/>
        </w:trPr>
        <w:tc>
          <w:tcPr>
            <w:tcW w:w="1271" w:type="dxa"/>
          </w:tcPr>
          <w:p w:rsidR="009A6ECB" w:rsidRPr="00F14378" w:rsidRDefault="00000000" w:rsidP="00AE12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2" w:history="1">
              <w:r w:rsidR="009A6ECB" w:rsidRPr="00EB4242">
                <w:rPr>
                  <w:rStyle w:val="Hyperlink"/>
                  <w:rFonts w:ascii="Arial" w:hAnsi="Arial" w:cs="Arial"/>
                  <w:sz w:val="20"/>
                  <w:szCs w:val="20"/>
                </w:rPr>
                <w:t>IAP00094</w:t>
              </w:r>
            </w:hyperlink>
          </w:p>
        </w:tc>
        <w:tc>
          <w:tcPr>
            <w:tcW w:w="4684" w:type="dxa"/>
          </w:tcPr>
          <w:p w:rsidR="009A6ECB" w:rsidRPr="00F14378" w:rsidRDefault="009A6ECB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F14378">
              <w:rPr>
                <w:rFonts w:ascii="Arial" w:hAnsi="Arial" w:cs="Arial"/>
                <w:sz w:val="20"/>
                <w:szCs w:val="20"/>
              </w:rPr>
              <w:t>Patients with stroke admitted to an acute stroke unit within 4 hours of arrival to hospital</w:t>
            </w:r>
          </w:p>
        </w:tc>
        <w:tc>
          <w:tcPr>
            <w:tcW w:w="1978" w:type="dxa"/>
          </w:tcPr>
          <w:p w:rsidR="009A6ECB" w:rsidRPr="00F14378" w:rsidRDefault="009A6ECB" w:rsidP="00AE12AA">
            <w:pPr>
              <w:keepNext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14378">
              <w:rPr>
                <w:rFonts w:ascii="Arial" w:hAnsi="Arial" w:cs="Arial"/>
                <w:sz w:val="20"/>
                <w:szCs w:val="20"/>
              </w:rPr>
              <w:t>National library indicator</w:t>
            </w:r>
          </w:p>
        </w:tc>
        <w:tc>
          <w:tcPr>
            <w:tcW w:w="1843" w:type="dxa"/>
          </w:tcPr>
          <w:p w:rsidR="009A6ECB" w:rsidRPr="00F14378" w:rsidRDefault="009A6ECB" w:rsidP="00AE12AA">
            <w:pPr>
              <w:pStyle w:val="Paragraph"/>
              <w:numPr>
                <w:ilvl w:val="0"/>
                <w:numId w:val="0"/>
              </w:numPr>
              <w:spacing w:after="0" w:line="240" w:lineRule="auto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June 2024</w:t>
            </w:r>
          </w:p>
        </w:tc>
      </w:tr>
      <w:tr w:rsidR="009A6ECB" w:rsidRPr="00F14378" w:rsidTr="009A6ECB">
        <w:trPr>
          <w:trHeight w:val="690"/>
        </w:trPr>
        <w:tc>
          <w:tcPr>
            <w:tcW w:w="1271" w:type="dxa"/>
          </w:tcPr>
          <w:p w:rsidR="009A6ECB" w:rsidRDefault="00000000" w:rsidP="00AE12AA">
            <w:hyperlink r:id="rId23" w:history="1">
              <w:r w:rsidR="009A6ECB" w:rsidRPr="00BC4662">
                <w:rPr>
                  <w:rStyle w:val="Hyperlink"/>
                  <w:rFonts w:ascii="Arial" w:hAnsi="Arial" w:cs="Arial"/>
                  <w:sz w:val="20"/>
                  <w:szCs w:val="20"/>
                </w:rPr>
                <w:t>IAP00137</w:t>
              </w:r>
            </w:hyperlink>
          </w:p>
        </w:tc>
        <w:tc>
          <w:tcPr>
            <w:tcW w:w="4684" w:type="dxa"/>
          </w:tcPr>
          <w:p w:rsidR="009A6ECB" w:rsidRPr="00F14378" w:rsidRDefault="009A6ECB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F14378">
              <w:rPr>
                <w:rFonts w:ascii="Arial" w:hAnsi="Arial" w:cs="Arial"/>
                <w:sz w:val="20"/>
                <w:szCs w:val="20"/>
              </w:rPr>
              <w:t>People who have a follow-up assessment between 4 to 8 months after initial admission for stroke.</w:t>
            </w:r>
          </w:p>
        </w:tc>
        <w:tc>
          <w:tcPr>
            <w:tcW w:w="1978" w:type="dxa"/>
          </w:tcPr>
          <w:p w:rsidR="009A6ECB" w:rsidRPr="00F14378" w:rsidRDefault="009A6ECB" w:rsidP="00AE12AA">
            <w:pPr>
              <w:keepNext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14378">
              <w:rPr>
                <w:rFonts w:ascii="Arial" w:hAnsi="Arial" w:cs="Arial"/>
                <w:sz w:val="20"/>
                <w:szCs w:val="20"/>
              </w:rPr>
              <w:t>National library indicator</w:t>
            </w:r>
          </w:p>
        </w:tc>
        <w:tc>
          <w:tcPr>
            <w:tcW w:w="1843" w:type="dxa"/>
          </w:tcPr>
          <w:p w:rsidR="009A6ECB" w:rsidRPr="00F14378" w:rsidRDefault="009A6ECB" w:rsidP="00AE12AA">
            <w:pPr>
              <w:pStyle w:val="Paragraph"/>
              <w:numPr>
                <w:ilvl w:val="0"/>
                <w:numId w:val="0"/>
              </w:numPr>
              <w:spacing w:after="0" w:line="240" w:lineRule="auto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June 2024</w:t>
            </w:r>
          </w:p>
        </w:tc>
      </w:tr>
      <w:tr w:rsidR="009A6ECB" w:rsidRPr="00F14378" w:rsidTr="009A6ECB">
        <w:trPr>
          <w:trHeight w:val="690"/>
        </w:trPr>
        <w:tc>
          <w:tcPr>
            <w:tcW w:w="1271" w:type="dxa"/>
          </w:tcPr>
          <w:p w:rsidR="009A6ECB" w:rsidRPr="00F14378" w:rsidRDefault="00000000" w:rsidP="00AE12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4" w:history="1">
              <w:r w:rsidR="009A6ECB" w:rsidRPr="00EB4242">
                <w:rPr>
                  <w:rStyle w:val="Hyperlink"/>
                  <w:rFonts w:ascii="Arial" w:hAnsi="Arial" w:cs="Arial"/>
                  <w:sz w:val="20"/>
                  <w:szCs w:val="20"/>
                </w:rPr>
                <w:t>IAP00093</w:t>
              </w:r>
            </w:hyperlink>
          </w:p>
        </w:tc>
        <w:tc>
          <w:tcPr>
            <w:tcW w:w="4684" w:type="dxa"/>
          </w:tcPr>
          <w:p w:rsidR="009A6ECB" w:rsidRPr="00F14378" w:rsidRDefault="009A6ECB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F14378">
              <w:rPr>
                <w:rFonts w:ascii="Arial" w:hAnsi="Arial" w:cs="Arial"/>
                <w:sz w:val="20"/>
                <w:szCs w:val="20"/>
              </w:rPr>
              <w:t>People who have had an acute stroke who receive thrombolysis</w:t>
            </w:r>
          </w:p>
        </w:tc>
        <w:tc>
          <w:tcPr>
            <w:tcW w:w="1978" w:type="dxa"/>
          </w:tcPr>
          <w:p w:rsidR="009A6ECB" w:rsidRPr="00F14378" w:rsidRDefault="009A6ECB" w:rsidP="00AE12AA">
            <w:pPr>
              <w:keepNext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14378">
              <w:rPr>
                <w:rFonts w:ascii="Arial" w:hAnsi="Arial" w:cs="Arial"/>
                <w:sz w:val="20"/>
                <w:szCs w:val="20"/>
              </w:rPr>
              <w:t>National library indicator</w:t>
            </w:r>
          </w:p>
        </w:tc>
        <w:tc>
          <w:tcPr>
            <w:tcW w:w="1843" w:type="dxa"/>
          </w:tcPr>
          <w:p w:rsidR="009A6ECB" w:rsidRPr="00F14378" w:rsidRDefault="009A6ECB" w:rsidP="00AE12AA">
            <w:pPr>
              <w:pStyle w:val="Paragraph"/>
              <w:numPr>
                <w:ilvl w:val="0"/>
                <w:numId w:val="0"/>
              </w:numPr>
              <w:spacing w:after="0" w:line="240" w:lineRule="auto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March 2023</w:t>
            </w:r>
          </w:p>
        </w:tc>
      </w:tr>
      <w:tr w:rsidR="009A6ECB" w:rsidRPr="00F14378" w:rsidTr="009A6ECB">
        <w:trPr>
          <w:trHeight w:val="690"/>
        </w:trPr>
        <w:tc>
          <w:tcPr>
            <w:tcW w:w="1271" w:type="dxa"/>
          </w:tcPr>
          <w:p w:rsidR="009A6ECB" w:rsidRPr="00F14378" w:rsidRDefault="00000000" w:rsidP="00AE12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5" w:history="1">
              <w:r w:rsidR="009A6ECB" w:rsidRPr="00BC4662">
                <w:rPr>
                  <w:rStyle w:val="Hyperlink"/>
                  <w:rFonts w:ascii="Arial" w:hAnsi="Arial" w:cs="Arial"/>
                  <w:sz w:val="20"/>
                  <w:szCs w:val="20"/>
                </w:rPr>
                <w:t>IAP00135</w:t>
              </w:r>
            </w:hyperlink>
          </w:p>
        </w:tc>
        <w:tc>
          <w:tcPr>
            <w:tcW w:w="4684" w:type="dxa"/>
          </w:tcPr>
          <w:p w:rsidR="009A6ECB" w:rsidRPr="00F14378" w:rsidRDefault="009A6ECB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F14378">
              <w:rPr>
                <w:rFonts w:ascii="Arial" w:hAnsi="Arial" w:cs="Arial"/>
                <w:sz w:val="20"/>
                <w:szCs w:val="20"/>
              </w:rPr>
              <w:t>Stroke patients who have a joint health and social care plan on discharge from hospital</w:t>
            </w:r>
          </w:p>
        </w:tc>
        <w:tc>
          <w:tcPr>
            <w:tcW w:w="1978" w:type="dxa"/>
          </w:tcPr>
          <w:p w:rsidR="009A6ECB" w:rsidRPr="00F14378" w:rsidRDefault="009A6ECB" w:rsidP="00AE12AA">
            <w:pPr>
              <w:keepNext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14378">
              <w:rPr>
                <w:rFonts w:ascii="Arial" w:hAnsi="Arial" w:cs="Arial"/>
                <w:sz w:val="20"/>
                <w:szCs w:val="20"/>
              </w:rPr>
              <w:t>National library indicator</w:t>
            </w:r>
          </w:p>
        </w:tc>
        <w:tc>
          <w:tcPr>
            <w:tcW w:w="1843" w:type="dxa"/>
          </w:tcPr>
          <w:p w:rsidR="009A6ECB" w:rsidRPr="00F14378" w:rsidRDefault="009A6ECB" w:rsidP="00AE12AA">
            <w:pPr>
              <w:pStyle w:val="Paragraph"/>
              <w:numPr>
                <w:ilvl w:val="0"/>
                <w:numId w:val="0"/>
              </w:numPr>
              <w:spacing w:after="0" w:line="240" w:lineRule="auto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June 2024</w:t>
            </w:r>
          </w:p>
        </w:tc>
      </w:tr>
      <w:tr w:rsidR="009A6ECB" w:rsidRPr="00F14378" w:rsidTr="009A6ECB">
        <w:trPr>
          <w:trHeight w:val="690"/>
        </w:trPr>
        <w:tc>
          <w:tcPr>
            <w:tcW w:w="1271" w:type="dxa"/>
          </w:tcPr>
          <w:p w:rsidR="009A6ECB" w:rsidRDefault="00000000" w:rsidP="00AE12AA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9A6ECB" w:rsidRPr="00BC4662">
                <w:rPr>
                  <w:rStyle w:val="Hyperlink"/>
                  <w:rFonts w:ascii="Arial" w:hAnsi="Arial" w:cs="Arial"/>
                  <w:sz w:val="20"/>
                  <w:szCs w:val="20"/>
                </w:rPr>
                <w:t>IAP00126</w:t>
              </w:r>
            </w:hyperlink>
          </w:p>
        </w:tc>
        <w:tc>
          <w:tcPr>
            <w:tcW w:w="4684" w:type="dxa"/>
          </w:tcPr>
          <w:p w:rsidR="009A6ECB" w:rsidRPr="00BC4662" w:rsidRDefault="009A6ECB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BC4662">
              <w:rPr>
                <w:rFonts w:ascii="Arial" w:hAnsi="Arial" w:cs="Arial"/>
                <w:sz w:val="20"/>
                <w:szCs w:val="20"/>
              </w:rPr>
              <w:t>Myocardial infarction, stroke and stage 5 chronic kidney disease in people with diabetes</w:t>
            </w:r>
          </w:p>
          <w:p w:rsidR="009A6ECB" w:rsidRPr="00F14378" w:rsidRDefault="009A6ECB" w:rsidP="00A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:rsidR="009A6ECB" w:rsidRPr="00F14378" w:rsidRDefault="009A6ECB" w:rsidP="00AE12AA">
            <w:pPr>
              <w:keepNext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14378">
              <w:rPr>
                <w:rFonts w:ascii="Arial" w:hAnsi="Arial" w:cs="Arial"/>
                <w:sz w:val="20"/>
                <w:szCs w:val="20"/>
              </w:rPr>
              <w:t>National library indicator</w:t>
            </w:r>
          </w:p>
        </w:tc>
        <w:tc>
          <w:tcPr>
            <w:tcW w:w="1843" w:type="dxa"/>
          </w:tcPr>
          <w:p w:rsidR="009A6ECB" w:rsidRPr="00F14378" w:rsidRDefault="009A6ECB" w:rsidP="00AE12AA">
            <w:pPr>
              <w:pStyle w:val="Paragraph"/>
              <w:numPr>
                <w:ilvl w:val="0"/>
                <w:numId w:val="0"/>
              </w:numPr>
              <w:spacing w:after="0" w:line="240" w:lineRule="auto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September 2024</w:t>
            </w:r>
          </w:p>
        </w:tc>
      </w:tr>
    </w:tbl>
    <w:p w:rsidR="00912284" w:rsidRDefault="00912284" w:rsidP="00912284">
      <w:pPr>
        <w:pStyle w:val="NICEnormal"/>
        <w:rPr>
          <w:rFonts w:cs="Arial"/>
        </w:rPr>
      </w:pPr>
    </w:p>
    <w:p w:rsidR="002C613C" w:rsidRDefault="002C613C"/>
    <w:sectPr w:rsidR="002C61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3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84"/>
    <w:rsid w:val="001D5B57"/>
    <w:rsid w:val="002C613C"/>
    <w:rsid w:val="00912284"/>
    <w:rsid w:val="009A6ECB"/>
    <w:rsid w:val="00E1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B2A10-B09D-4F4A-A60E-BD127D3E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ICEnormal"/>
    <w:link w:val="Heading2Char"/>
    <w:qFormat/>
    <w:rsid w:val="00912284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2284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NICEnormal">
    <w:name w:val="NICE normal"/>
    <w:link w:val="NICEnormalChar"/>
    <w:qFormat/>
    <w:rsid w:val="00912284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912284"/>
    <w:rPr>
      <w:color w:val="0563C1" w:themeColor="hyperlink"/>
      <w:u w:val="single"/>
    </w:rPr>
  </w:style>
  <w:style w:type="table" w:styleId="TableGrid">
    <w:name w:val="Table Grid"/>
    <w:basedOn w:val="TableNormal"/>
    <w:rsid w:val="00912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EnormalChar">
    <w:name w:val="NICE normal Char"/>
    <w:link w:val="NICEnormal"/>
    <w:rsid w:val="00912284"/>
    <w:rPr>
      <w:rFonts w:ascii="Arial" w:eastAsia="Times New Roman" w:hAnsi="Arial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rsid w:val="001D5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A6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uiPriority w:val="4"/>
    <w:qFormat/>
    <w:rsid w:val="009A6ECB"/>
    <w:pPr>
      <w:numPr>
        <w:numId w:val="1"/>
      </w:numPr>
      <w:tabs>
        <w:tab w:val="left" w:pos="567"/>
      </w:tabs>
      <w:spacing w:after="240" w:line="276" w:lineRule="auto"/>
      <w:ind w:left="567" w:hanging="501"/>
    </w:pPr>
    <w:rPr>
      <w:rFonts w:ascii="Arial" w:hAnsi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qofindicators/the-percentage-of-patients-with-one-or-more-of-the-following-conditions-chd-atrial-fibrillation-chronic-heart-failure-stroke-or-tia-diabetes-or-dementia-with-a-fast-score-of-3-or-audit-c-score-of-5-in-the-preceding-2-years-who-have-received-brief-interven" TargetMode="External"/><Relationship Id="rId13" Type="http://schemas.openxmlformats.org/officeDocument/2006/relationships/hyperlink" Target="https://www.nice.org.uk/standards-and-indicators/ccgoisindicators/stroke-ccg47" TargetMode="External"/><Relationship Id="rId18" Type="http://schemas.openxmlformats.org/officeDocument/2006/relationships/hyperlink" Target="https://www.nice.org.uk/standards-and-indicators/ccgoisindicators/stroke-ccg52" TargetMode="External"/><Relationship Id="rId26" Type="http://schemas.openxmlformats.org/officeDocument/2006/relationships/hyperlink" Target="https://www.nice.org.uk/standards-and-indicators/nlindicators/myocardial-infarction-stroke-and-stage-5-chronic-kidney-disease-in-people-with-diabet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ice.org.uk/Standards-and-Indicators/NLIndicators/patients-who-have-had-an-acute-stroke-who-spend-90-or-more-of-their-stay-on-a-stroke-unit" TargetMode="External"/><Relationship Id="rId7" Type="http://schemas.openxmlformats.org/officeDocument/2006/relationships/hyperlink" Target="https://www.nice.org.uk/standards-and-indicators/qofindicators/the-percentage-of-patients-with-one-or-more-of-the-following-conditions-chd-atrial-fibrillation-chronic-heart-failure-stroke-or-tia-diabetes-or-dementia-who-have-been-screened-for-unsafe-drinking-using-the-fast-or-audit-c-tool-in-the-preceding-2-years" TargetMode="External"/><Relationship Id="rId12" Type="http://schemas.openxmlformats.org/officeDocument/2006/relationships/hyperlink" Target="https://www.nice.org.uk/standards-and-indicators/ccgoisindicators/stroke-ccg46" TargetMode="External"/><Relationship Id="rId17" Type="http://schemas.openxmlformats.org/officeDocument/2006/relationships/hyperlink" Target="https://www.nice.org.uk/standards-and-indicators/ccgoisindicators/stroke-ccg51" TargetMode="External"/><Relationship Id="rId25" Type="http://schemas.openxmlformats.org/officeDocument/2006/relationships/hyperlink" Target="https://www.nice.org.uk/Standards-and-Indicators/NLIndicators/stroke-patients-who-have-a-joint-health-and-social-care-plan-on-discharge-from-hospit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ice.org.uk/standards-and-indicators/ccgoisindicators/stroke-ccg50" TargetMode="External"/><Relationship Id="rId20" Type="http://schemas.openxmlformats.org/officeDocument/2006/relationships/hyperlink" Target="https://www.nice.org.uk/Standards-and-Indicators/NLIndicators/mortality-within-30-days-of-hospital-admission-for-strok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ice.org.uk/standards-and-indicators/qofindicators/the-percentage-of-patients-with-stroke-or-tia-who-have-had-influenza-immunisation-in-the-preceding-1-august-to-31-march-nm140" TargetMode="External"/><Relationship Id="rId11" Type="http://schemas.openxmlformats.org/officeDocument/2006/relationships/hyperlink" Target="https://www.nice.org.uk/standards-and-indicators/ccgoisindicators/stroke-ccg45" TargetMode="External"/><Relationship Id="rId24" Type="http://schemas.openxmlformats.org/officeDocument/2006/relationships/hyperlink" Target="https://www.nice.org.uk/standards-and-indicators/nlindicators/people-who-have-had-an-acute-stroke-who-receive-thrombolysis" TargetMode="External"/><Relationship Id="rId5" Type="http://schemas.openxmlformats.org/officeDocument/2006/relationships/hyperlink" Target="https://www.nice.org.uk/standards-and-indicators/qofindicators/the-percentage-of-patients-with-a-stroke-shown-to-be-non-haemorrhagic-or-a-history-of-tia-who-have-a-record-in-the-preceding-12-months-that-an-anti-platelet-agent-or-an-anti-coagulant-is-being-taken-nm94" TargetMode="External"/><Relationship Id="rId15" Type="http://schemas.openxmlformats.org/officeDocument/2006/relationships/hyperlink" Target="https://www.nice.org.uk/standards-and-indicators/ccgoisindicators/stroke-ccg49" TargetMode="External"/><Relationship Id="rId23" Type="http://schemas.openxmlformats.org/officeDocument/2006/relationships/hyperlink" Target="https://www.nice.org.uk/Standards-and-Indicators/NLIndicators/people-who-have-a-follow-up-assessment-between-4-and-8-months-after-initial-admission-for-strok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ice.org.uk/standards-and-indicators/qofindicators/the-percentage-of-patients-aged-80-years-or-over-with-a-history-of-stroke-or-tia-in-whom-the-last-blood-pressure-reading-measured-in-the-preceding-12-months-is-less-than-145-85-mmhg-if-using-ambulatory-or-home-monitoring-or-less-than-150-90-mmhg-if-monito" TargetMode="External"/><Relationship Id="rId19" Type="http://schemas.openxmlformats.org/officeDocument/2006/relationships/hyperlink" Target="https://www.nice.org.uk/standards-and-indicators/ccgoisindicators/stroke-ccg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qofindicators/the-percentage-of-patients-aged-79-years-or-under-with-a-history-of-stroke-or-tia-in-whom-the-last-blood-pressure-reading-measured-in-the-preceding-12-months-is-less-than-135-85-mmhg-if-using-ambulatory-or-home-monitoring-or-less-than-140-90-mmhg-if-monit" TargetMode="External"/><Relationship Id="rId14" Type="http://schemas.openxmlformats.org/officeDocument/2006/relationships/hyperlink" Target="https://www.nice.org.uk/standards-and-indicators/ccgoisindicators/stroke-ccg48" TargetMode="External"/><Relationship Id="rId22" Type="http://schemas.openxmlformats.org/officeDocument/2006/relationships/hyperlink" Target="https://www.nice.org.uk/Standards-and-Indicators/NLIndicators/patients-with-stroke-admitted-to-an-acute-stroke-unit-within-4-hours-of-arrival-to-hospita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Anneza Yiallourou</dc:creator>
  <cp:keywords/>
  <dc:description/>
  <cp:lastModifiedBy>Monika Kyriacou</cp:lastModifiedBy>
  <cp:revision>2</cp:revision>
  <dcterms:created xsi:type="dcterms:W3CDTF">2023-03-02T14:20:00Z</dcterms:created>
  <dcterms:modified xsi:type="dcterms:W3CDTF">2023-03-02T14:20:00Z</dcterms:modified>
</cp:coreProperties>
</file>