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ediumShading2-Accent1"/>
        <w:tblW w:w="1091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  <w:tblCaption w:val="Angina and coronary heart disease GP indicators table"/>
        <w:tblDescription w:val="Table for Angina and coronary heart disease GP indicators"/>
      </w:tblPr>
      <w:tblGrid>
        <w:gridCol w:w="1277"/>
        <w:gridCol w:w="5386"/>
        <w:gridCol w:w="2694"/>
        <w:gridCol w:w="1559"/>
      </w:tblGrid>
      <w:tr w:rsidR="0090031C" w:rsidRPr="00F64497" w14:paraId="26E43629" w14:textId="77777777" w:rsidTr="009003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17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24954" w14:textId="77777777" w:rsidR="0090031C" w:rsidRPr="00F64497" w:rsidRDefault="0090031C" w:rsidP="00AE12AA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64497">
              <w:rPr>
                <w:rFonts w:ascii="Arial" w:hAnsi="Arial" w:cs="Arial"/>
                <w:color w:val="auto"/>
                <w:sz w:val="20"/>
                <w:szCs w:val="20"/>
              </w:rPr>
              <w:t>ID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3F846" w14:textId="77777777" w:rsidR="0090031C" w:rsidRPr="00F64497" w:rsidRDefault="0090031C" w:rsidP="00AE12AA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64497">
              <w:rPr>
                <w:rFonts w:ascii="Arial" w:hAnsi="Arial" w:cs="Arial"/>
                <w:color w:val="auto"/>
                <w:sz w:val="20"/>
                <w:szCs w:val="20"/>
              </w:rPr>
              <w:t xml:space="preserve">Indicator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890B1" w14:textId="77777777" w:rsidR="0090031C" w:rsidRPr="00F64497" w:rsidRDefault="0090031C" w:rsidP="00AE12AA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64497">
              <w:rPr>
                <w:rFonts w:ascii="Arial" w:hAnsi="Arial" w:cs="Arial"/>
                <w:color w:val="auto"/>
                <w:sz w:val="20"/>
                <w:szCs w:val="20"/>
              </w:rPr>
              <w:t>Indicator type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438222" w14:textId="77777777" w:rsidR="0090031C" w:rsidRPr="004B257D" w:rsidRDefault="0090031C" w:rsidP="00AE12AA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Review date</w:t>
            </w:r>
          </w:p>
        </w:tc>
      </w:tr>
      <w:tr w:rsidR="0090031C" w:rsidRPr="00F64497" w14:paraId="795DE334" w14:textId="77777777" w:rsidTr="009003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944"/>
        </w:trPr>
        <w:tc>
          <w:tcPr>
            <w:tcW w:w="1277" w:type="dxa"/>
            <w:shd w:val="clear" w:color="auto" w:fill="auto"/>
          </w:tcPr>
          <w:p w14:paraId="1BFE8B47" w14:textId="77777777" w:rsidR="0090031C" w:rsidRPr="00F64497" w:rsidRDefault="00000000" w:rsidP="00AE12AA">
            <w:p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5" w:history="1">
              <w:r w:rsidR="0090031C" w:rsidRPr="00F64497">
                <w:rPr>
                  <w:rStyle w:val="Hyperlink"/>
                  <w:rFonts w:ascii="Arial" w:hAnsi="Arial" w:cs="Arial"/>
                  <w:sz w:val="20"/>
                  <w:szCs w:val="20"/>
                </w:rPr>
                <w:t>NM87</w:t>
              </w:r>
            </w:hyperlink>
          </w:p>
        </w:tc>
        <w:tc>
          <w:tcPr>
            <w:tcW w:w="5386" w:type="dxa"/>
            <w:shd w:val="clear" w:color="auto" w:fill="auto"/>
          </w:tcPr>
          <w:p w14:paraId="0F31E81B" w14:textId="77777777" w:rsidR="0090031C" w:rsidRPr="00F64497" w:rsidRDefault="0090031C" w:rsidP="00AE12AA">
            <w:p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97">
              <w:rPr>
                <w:rFonts w:ascii="Arial" w:hAnsi="Arial" w:cs="Arial"/>
                <w:color w:val="000000"/>
                <w:sz w:val="20"/>
                <w:szCs w:val="20"/>
              </w:rPr>
              <w:t>The percentage of patients with coronary heart disease who have had influenza immunisation in the preceding 1 August to 31 March</w:t>
            </w:r>
          </w:p>
        </w:tc>
        <w:tc>
          <w:tcPr>
            <w:tcW w:w="2694" w:type="dxa"/>
            <w:shd w:val="clear" w:color="auto" w:fill="auto"/>
          </w:tcPr>
          <w:p w14:paraId="08A207F6" w14:textId="77777777" w:rsidR="0090031C" w:rsidRPr="00F64497" w:rsidRDefault="0090031C" w:rsidP="00AE12AA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practice indicator suitable for use in the QOF</w:t>
            </w:r>
          </w:p>
        </w:tc>
        <w:tc>
          <w:tcPr>
            <w:tcW w:w="1559" w:type="dxa"/>
            <w:shd w:val="clear" w:color="auto" w:fill="FFFFFF" w:themeFill="background1"/>
          </w:tcPr>
          <w:p w14:paraId="4B182C07" w14:textId="77777777" w:rsidR="0090031C" w:rsidRPr="004B257D" w:rsidRDefault="0090031C" w:rsidP="00AE12AA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October 2023</w:t>
            </w:r>
          </w:p>
        </w:tc>
      </w:tr>
      <w:tr w:rsidR="0090031C" w:rsidRPr="00F64497" w14:paraId="0BD3B1E9" w14:textId="77777777" w:rsidTr="0090031C">
        <w:trPr>
          <w:cantSplit/>
          <w:trHeight w:val="944"/>
        </w:trPr>
        <w:tc>
          <w:tcPr>
            <w:tcW w:w="1277" w:type="dxa"/>
            <w:shd w:val="clear" w:color="auto" w:fill="auto"/>
          </w:tcPr>
          <w:p w14:paraId="21E239DA" w14:textId="77777777" w:rsidR="0090031C" w:rsidRPr="00F64497" w:rsidRDefault="00000000" w:rsidP="00AE12AA">
            <w:p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6" w:history="1">
              <w:r w:rsidR="0090031C" w:rsidRPr="00F64497">
                <w:rPr>
                  <w:rStyle w:val="Hyperlink"/>
                  <w:rFonts w:ascii="Arial" w:hAnsi="Arial" w:cs="Arial"/>
                  <w:sz w:val="20"/>
                  <w:szCs w:val="20"/>
                </w:rPr>
                <w:t>NM88</w:t>
              </w:r>
            </w:hyperlink>
          </w:p>
        </w:tc>
        <w:tc>
          <w:tcPr>
            <w:tcW w:w="5386" w:type="dxa"/>
            <w:shd w:val="clear" w:color="auto" w:fill="auto"/>
          </w:tcPr>
          <w:p w14:paraId="7ED232B0" w14:textId="77777777" w:rsidR="0090031C" w:rsidRPr="00F64497" w:rsidRDefault="0090031C" w:rsidP="00AE12AA">
            <w:p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97">
              <w:rPr>
                <w:rFonts w:ascii="Arial" w:hAnsi="Arial" w:cs="Arial"/>
                <w:color w:val="000000"/>
                <w:sz w:val="20"/>
                <w:szCs w:val="20"/>
              </w:rPr>
              <w:t>The percentage of patients with coronary heart disease with a record in the preceding 12 months that aspirin, an alternative anti-platelet therapy, or an anti-coagulant is being taken</w:t>
            </w:r>
          </w:p>
        </w:tc>
        <w:tc>
          <w:tcPr>
            <w:tcW w:w="2694" w:type="dxa"/>
            <w:shd w:val="clear" w:color="auto" w:fill="auto"/>
          </w:tcPr>
          <w:p w14:paraId="60EF899D" w14:textId="77777777" w:rsidR="0090031C" w:rsidRPr="00F64497" w:rsidRDefault="0090031C" w:rsidP="00AE12AA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practice indicator suitable for use in the QOF</w:t>
            </w:r>
          </w:p>
        </w:tc>
        <w:tc>
          <w:tcPr>
            <w:tcW w:w="1559" w:type="dxa"/>
            <w:shd w:val="clear" w:color="auto" w:fill="FFFFFF" w:themeFill="background1"/>
          </w:tcPr>
          <w:p w14:paraId="607F39A7" w14:textId="77777777" w:rsidR="0090031C" w:rsidRPr="004B257D" w:rsidRDefault="0090031C" w:rsidP="00AE12AA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November 2023</w:t>
            </w:r>
          </w:p>
        </w:tc>
      </w:tr>
      <w:tr w:rsidR="0090031C" w:rsidRPr="00F64497" w14:paraId="01C9E3E7" w14:textId="77777777" w:rsidTr="009003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944"/>
        </w:trPr>
        <w:tc>
          <w:tcPr>
            <w:tcW w:w="1277" w:type="dxa"/>
            <w:shd w:val="clear" w:color="auto" w:fill="auto"/>
          </w:tcPr>
          <w:p w14:paraId="535CDCE2" w14:textId="77777777" w:rsidR="0090031C" w:rsidRPr="00F64497" w:rsidRDefault="00000000" w:rsidP="00AE12AA">
            <w:p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7" w:history="1">
              <w:r w:rsidR="0090031C" w:rsidRPr="00F64497">
                <w:rPr>
                  <w:rStyle w:val="Hyperlink"/>
                  <w:rFonts w:ascii="Arial" w:hAnsi="Arial" w:cs="Arial"/>
                  <w:sz w:val="20"/>
                  <w:szCs w:val="20"/>
                </w:rPr>
                <w:t>NM122</w:t>
              </w:r>
            </w:hyperlink>
          </w:p>
        </w:tc>
        <w:tc>
          <w:tcPr>
            <w:tcW w:w="5386" w:type="dxa"/>
            <w:shd w:val="clear" w:color="auto" w:fill="auto"/>
          </w:tcPr>
          <w:p w14:paraId="2C92AE82" w14:textId="77777777" w:rsidR="0090031C" w:rsidRPr="00F64497" w:rsidRDefault="0090031C" w:rsidP="00AE12AA">
            <w:pPr>
              <w:spacing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97">
              <w:rPr>
                <w:rFonts w:ascii="Arial" w:hAnsi="Arial" w:cs="Arial"/>
                <w:color w:val="000000"/>
                <w:sz w:val="20"/>
                <w:szCs w:val="20"/>
              </w:rPr>
              <w:t>The percentage of patients with coronary heart disease, stroke or transient ischemic attack, diabetes and/or chronic obstructive pulmonary disease who have influenza immunisation in the preceding 1 August and 31 March</w:t>
            </w:r>
          </w:p>
        </w:tc>
        <w:tc>
          <w:tcPr>
            <w:tcW w:w="2694" w:type="dxa"/>
            <w:shd w:val="clear" w:color="auto" w:fill="auto"/>
          </w:tcPr>
          <w:p w14:paraId="123D73FE" w14:textId="77777777" w:rsidR="0090031C" w:rsidRPr="00F64497" w:rsidRDefault="0090031C" w:rsidP="00AE12AA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practice indicator suitable for use in the QOF</w:t>
            </w:r>
          </w:p>
        </w:tc>
        <w:tc>
          <w:tcPr>
            <w:tcW w:w="1559" w:type="dxa"/>
            <w:shd w:val="clear" w:color="auto" w:fill="FFFFFF" w:themeFill="background1"/>
          </w:tcPr>
          <w:p w14:paraId="5A9784AE" w14:textId="77777777" w:rsidR="0090031C" w:rsidRPr="004B257D" w:rsidRDefault="0090031C" w:rsidP="00AE12AA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October 2023</w:t>
            </w:r>
          </w:p>
        </w:tc>
      </w:tr>
      <w:tr w:rsidR="0090031C" w:rsidRPr="00F64497" w14:paraId="07FBC4EC" w14:textId="77777777" w:rsidTr="0090031C">
        <w:trPr>
          <w:cantSplit/>
          <w:trHeight w:val="944"/>
        </w:trPr>
        <w:tc>
          <w:tcPr>
            <w:tcW w:w="1277" w:type="dxa"/>
            <w:shd w:val="clear" w:color="auto" w:fill="auto"/>
          </w:tcPr>
          <w:p w14:paraId="3938BC7B" w14:textId="77777777" w:rsidR="0090031C" w:rsidRDefault="00000000" w:rsidP="00AE12AA">
            <w:pPr>
              <w:spacing w:after="40"/>
            </w:pPr>
            <w:hyperlink r:id="rId8" w:history="1">
              <w:r w:rsidR="0090031C" w:rsidRPr="00377E3F">
                <w:rPr>
                  <w:rStyle w:val="Hyperlink"/>
                  <w:rFonts w:ascii="Arial" w:hAnsi="Arial" w:cs="Arial"/>
                  <w:sz w:val="20"/>
                  <w:szCs w:val="20"/>
                </w:rPr>
                <w:t>NM180</w:t>
              </w:r>
            </w:hyperlink>
          </w:p>
        </w:tc>
        <w:tc>
          <w:tcPr>
            <w:tcW w:w="5386" w:type="dxa"/>
            <w:shd w:val="clear" w:color="auto" w:fill="auto"/>
          </w:tcPr>
          <w:p w14:paraId="50A390ED" w14:textId="77777777" w:rsidR="0090031C" w:rsidRPr="007B5E74" w:rsidRDefault="0090031C" w:rsidP="00AE12AA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7B5E74">
              <w:rPr>
                <w:rFonts w:ascii="Arial" w:hAnsi="Arial" w:cs="Arial"/>
                <w:sz w:val="20"/>
                <w:szCs w:val="20"/>
              </w:rPr>
              <w:t xml:space="preserve">The percentage of patients with one or more of the following conditions: CHD, atrial fibrillation, chronic heart failure, stroke or TIA, diabetes or dementia who have been screened for </w:t>
            </w:r>
            <w:r>
              <w:rPr>
                <w:rFonts w:ascii="Arial" w:hAnsi="Arial" w:cs="Arial"/>
                <w:sz w:val="20"/>
                <w:szCs w:val="20"/>
              </w:rPr>
              <w:t>hazardous</w:t>
            </w:r>
            <w:r w:rsidRPr="007B5E74">
              <w:rPr>
                <w:rFonts w:ascii="Arial" w:hAnsi="Arial" w:cs="Arial"/>
                <w:sz w:val="20"/>
                <w:szCs w:val="20"/>
              </w:rPr>
              <w:t xml:space="preserve"> drinking using the FAST or AUDIT-C tool in the preceding 2 years.</w:t>
            </w:r>
          </w:p>
        </w:tc>
        <w:tc>
          <w:tcPr>
            <w:tcW w:w="2694" w:type="dxa"/>
            <w:shd w:val="clear" w:color="auto" w:fill="auto"/>
          </w:tcPr>
          <w:p w14:paraId="2DFBC790" w14:textId="77777777" w:rsidR="0090031C" w:rsidRPr="00E8684E" w:rsidRDefault="0090031C" w:rsidP="00AE12AA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E8684E">
              <w:rPr>
                <w:rFonts w:ascii="Arial" w:hAnsi="Arial" w:cs="Arial"/>
                <w:sz w:val="20"/>
                <w:szCs w:val="20"/>
              </w:rPr>
              <w:t>General practice indicator suitable for use in the QOF</w:t>
            </w:r>
          </w:p>
        </w:tc>
        <w:tc>
          <w:tcPr>
            <w:tcW w:w="1559" w:type="dxa"/>
            <w:shd w:val="clear" w:color="auto" w:fill="FFFFFF" w:themeFill="background1"/>
          </w:tcPr>
          <w:p w14:paraId="2F23B5A2" w14:textId="77777777" w:rsidR="0090031C" w:rsidRDefault="0090031C" w:rsidP="00AE12AA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August 2023</w:t>
            </w:r>
          </w:p>
        </w:tc>
      </w:tr>
      <w:tr w:rsidR="0090031C" w:rsidRPr="00F64497" w14:paraId="793385CB" w14:textId="77777777" w:rsidTr="009003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944"/>
        </w:trPr>
        <w:tc>
          <w:tcPr>
            <w:tcW w:w="1277" w:type="dxa"/>
            <w:shd w:val="clear" w:color="auto" w:fill="auto"/>
          </w:tcPr>
          <w:p w14:paraId="60BE46A2" w14:textId="77777777" w:rsidR="0090031C" w:rsidRDefault="00000000" w:rsidP="00AE12AA">
            <w:pPr>
              <w:spacing w:after="40"/>
            </w:pPr>
            <w:hyperlink r:id="rId9" w:history="1">
              <w:r w:rsidR="0090031C" w:rsidRPr="00A937FB">
                <w:rPr>
                  <w:rStyle w:val="Hyperlink"/>
                  <w:rFonts w:ascii="Arial" w:hAnsi="Arial" w:cs="Arial"/>
                  <w:sz w:val="20"/>
                  <w:szCs w:val="20"/>
                </w:rPr>
                <w:t>NM181</w:t>
              </w:r>
            </w:hyperlink>
          </w:p>
        </w:tc>
        <w:tc>
          <w:tcPr>
            <w:tcW w:w="5386" w:type="dxa"/>
            <w:shd w:val="clear" w:color="auto" w:fill="auto"/>
          </w:tcPr>
          <w:p w14:paraId="7EA897D4" w14:textId="77777777" w:rsidR="0090031C" w:rsidRPr="00372B52" w:rsidRDefault="0090031C" w:rsidP="00AE12AA">
            <w:pPr>
              <w:pStyle w:val="NICEnormal"/>
              <w:spacing w:after="40" w:line="240" w:lineRule="auto"/>
              <w:rPr>
                <w:rFonts w:cs="Arial"/>
                <w:sz w:val="20"/>
                <w:szCs w:val="20"/>
              </w:rPr>
            </w:pPr>
            <w:r w:rsidRPr="007A31DD">
              <w:rPr>
                <w:rFonts w:cs="Arial"/>
                <w:sz w:val="20"/>
                <w:szCs w:val="20"/>
              </w:rPr>
              <w:t xml:space="preserve">The percentage of patients with one or more of the following conditions: CHD, atrial fibrillation, chronic heart failure, stroke or TIA, diabetes or dementia with a FAST score of </w:t>
            </w:r>
            <w:r>
              <w:rPr>
                <w:rFonts w:cs="Arial"/>
                <w:sz w:val="20"/>
                <w:szCs w:val="20"/>
              </w:rPr>
              <w:t xml:space="preserve">greater than or equal to </w:t>
            </w:r>
            <w:r w:rsidRPr="007A31DD">
              <w:rPr>
                <w:rFonts w:cs="Arial"/>
                <w:sz w:val="20"/>
                <w:szCs w:val="20"/>
              </w:rPr>
              <w:t xml:space="preserve">3 or AUDIT-C score of </w:t>
            </w:r>
            <w:r>
              <w:rPr>
                <w:rFonts w:cs="Arial"/>
                <w:sz w:val="20"/>
                <w:szCs w:val="20"/>
              </w:rPr>
              <w:t xml:space="preserve">greater than or equal to </w:t>
            </w:r>
            <w:r w:rsidRPr="007A31DD">
              <w:rPr>
                <w:rFonts w:cs="Arial"/>
                <w:sz w:val="20"/>
                <w:szCs w:val="20"/>
              </w:rPr>
              <w:t>5 in the preceding 2 years who have received brief intervention to help them reduce their alcohol related risk within 3 months of the score being recorded.</w:t>
            </w:r>
          </w:p>
        </w:tc>
        <w:tc>
          <w:tcPr>
            <w:tcW w:w="2694" w:type="dxa"/>
            <w:shd w:val="clear" w:color="auto" w:fill="auto"/>
          </w:tcPr>
          <w:p w14:paraId="24D59E32" w14:textId="77777777" w:rsidR="0090031C" w:rsidRDefault="0090031C" w:rsidP="00AE12AA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practice indicator suitable for use in the QOF</w:t>
            </w:r>
          </w:p>
        </w:tc>
        <w:tc>
          <w:tcPr>
            <w:tcW w:w="1559" w:type="dxa"/>
            <w:shd w:val="clear" w:color="auto" w:fill="FFFFFF" w:themeFill="background1"/>
          </w:tcPr>
          <w:p w14:paraId="3222B982" w14:textId="77777777" w:rsidR="0090031C" w:rsidRPr="004B257D" w:rsidRDefault="0090031C" w:rsidP="00AE12AA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August 2023</w:t>
            </w:r>
          </w:p>
        </w:tc>
      </w:tr>
      <w:tr w:rsidR="0090031C" w:rsidRPr="00F64497" w14:paraId="788CAD47" w14:textId="77777777" w:rsidTr="0090031C">
        <w:trPr>
          <w:cantSplit/>
          <w:trHeight w:val="944"/>
        </w:trPr>
        <w:tc>
          <w:tcPr>
            <w:tcW w:w="1277" w:type="dxa"/>
            <w:shd w:val="clear" w:color="auto" w:fill="auto"/>
          </w:tcPr>
          <w:p w14:paraId="48A0A738" w14:textId="77777777" w:rsidR="0090031C" w:rsidRPr="0052480E" w:rsidRDefault="00000000" w:rsidP="00AE12AA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90031C" w:rsidRPr="0052480E">
                <w:rPr>
                  <w:rStyle w:val="Hyperlink"/>
                  <w:rFonts w:ascii="Arial" w:hAnsi="Arial" w:cs="Arial"/>
                  <w:sz w:val="20"/>
                  <w:szCs w:val="20"/>
                </w:rPr>
                <w:t>NM225</w:t>
              </w:r>
            </w:hyperlink>
          </w:p>
        </w:tc>
        <w:tc>
          <w:tcPr>
            <w:tcW w:w="5386" w:type="dxa"/>
            <w:shd w:val="clear" w:color="auto" w:fill="auto"/>
          </w:tcPr>
          <w:p w14:paraId="563BED87" w14:textId="77777777" w:rsidR="0090031C" w:rsidRPr="0052480E" w:rsidRDefault="0090031C" w:rsidP="00AE12AA">
            <w:pPr>
              <w:pStyle w:val="NICEnormal"/>
              <w:spacing w:after="40" w:line="240" w:lineRule="auto"/>
              <w:rPr>
                <w:rFonts w:cs="Arial"/>
                <w:sz w:val="20"/>
                <w:szCs w:val="20"/>
              </w:rPr>
            </w:pPr>
            <w:r w:rsidRPr="0052480E">
              <w:rPr>
                <w:rFonts w:cs="Arial"/>
                <w:sz w:val="20"/>
                <w:szCs w:val="20"/>
              </w:rPr>
              <w:t>The percentage of patients aged 79 years or under with coronary heart disease in whom the last blood pressure reading (measured in the preceding 12 months) is less than 135/85 mmHg if using ambulatory or home monitoring, or less than 140/90 mmHg if monitored in clinic.</w:t>
            </w:r>
          </w:p>
        </w:tc>
        <w:tc>
          <w:tcPr>
            <w:tcW w:w="2694" w:type="dxa"/>
            <w:shd w:val="clear" w:color="auto" w:fill="auto"/>
          </w:tcPr>
          <w:p w14:paraId="54143A3F" w14:textId="77777777" w:rsidR="0090031C" w:rsidRPr="0052480E" w:rsidRDefault="0090031C" w:rsidP="00AE12AA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52480E">
              <w:rPr>
                <w:rFonts w:ascii="Arial" w:hAnsi="Arial" w:cs="Arial"/>
                <w:sz w:val="20"/>
                <w:szCs w:val="20"/>
              </w:rPr>
              <w:t>General practice indicator suitable for use in the QOF</w:t>
            </w:r>
          </w:p>
        </w:tc>
        <w:tc>
          <w:tcPr>
            <w:tcW w:w="1559" w:type="dxa"/>
            <w:shd w:val="clear" w:color="auto" w:fill="FFFFFF" w:themeFill="background1"/>
          </w:tcPr>
          <w:p w14:paraId="270B5370" w14:textId="77777777" w:rsidR="0090031C" w:rsidRPr="0052480E" w:rsidRDefault="0090031C" w:rsidP="00AE12AA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August 2025</w:t>
            </w:r>
          </w:p>
        </w:tc>
      </w:tr>
      <w:tr w:rsidR="0090031C" w:rsidRPr="00F64497" w14:paraId="01277377" w14:textId="77777777" w:rsidTr="009003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944"/>
        </w:trPr>
        <w:tc>
          <w:tcPr>
            <w:tcW w:w="1277" w:type="dxa"/>
            <w:shd w:val="clear" w:color="auto" w:fill="auto"/>
          </w:tcPr>
          <w:p w14:paraId="47E06278" w14:textId="77777777" w:rsidR="0090031C" w:rsidRPr="0052480E" w:rsidRDefault="00000000" w:rsidP="00AE12AA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90031C" w:rsidRPr="0052480E">
                <w:rPr>
                  <w:rStyle w:val="Hyperlink"/>
                  <w:rFonts w:ascii="Arial" w:hAnsi="Arial" w:cs="Arial"/>
                  <w:sz w:val="20"/>
                  <w:szCs w:val="20"/>
                </w:rPr>
                <w:t>NM226</w:t>
              </w:r>
            </w:hyperlink>
          </w:p>
        </w:tc>
        <w:tc>
          <w:tcPr>
            <w:tcW w:w="5386" w:type="dxa"/>
            <w:shd w:val="clear" w:color="auto" w:fill="auto"/>
          </w:tcPr>
          <w:p w14:paraId="062E822B" w14:textId="77777777" w:rsidR="0090031C" w:rsidRPr="0052480E" w:rsidRDefault="0090031C" w:rsidP="00AE12AA">
            <w:pPr>
              <w:pStyle w:val="NICEnormal"/>
              <w:spacing w:after="40" w:line="240" w:lineRule="auto"/>
              <w:rPr>
                <w:rFonts w:cs="Arial"/>
                <w:sz w:val="20"/>
                <w:szCs w:val="20"/>
              </w:rPr>
            </w:pPr>
            <w:r w:rsidRPr="0052480E">
              <w:rPr>
                <w:rFonts w:cs="Arial"/>
                <w:sz w:val="20"/>
                <w:szCs w:val="20"/>
              </w:rPr>
              <w:t>The percentage of patients aged 80 years or over with coronary heart disease in whom the last blood pressure reading (measured in the preceding 12 months) is less than 145/85 mmHg if using ambulatory or home monitoring, or less than 150/90 mmHg if monitored in clinic.</w:t>
            </w:r>
          </w:p>
        </w:tc>
        <w:tc>
          <w:tcPr>
            <w:tcW w:w="2694" w:type="dxa"/>
            <w:shd w:val="clear" w:color="auto" w:fill="auto"/>
          </w:tcPr>
          <w:p w14:paraId="414466AA" w14:textId="77777777" w:rsidR="0090031C" w:rsidRPr="0052480E" w:rsidRDefault="0090031C" w:rsidP="00AE12AA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52480E">
              <w:rPr>
                <w:rFonts w:ascii="Arial" w:hAnsi="Arial" w:cs="Arial"/>
                <w:sz w:val="20"/>
                <w:szCs w:val="20"/>
              </w:rPr>
              <w:t>General practice indicator suitable for use in the QOF</w:t>
            </w:r>
          </w:p>
        </w:tc>
        <w:tc>
          <w:tcPr>
            <w:tcW w:w="1559" w:type="dxa"/>
            <w:shd w:val="clear" w:color="auto" w:fill="FFFFFF" w:themeFill="background1"/>
          </w:tcPr>
          <w:p w14:paraId="782366B0" w14:textId="77777777" w:rsidR="0090031C" w:rsidRPr="0052480E" w:rsidRDefault="0090031C" w:rsidP="00AE12AA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August 2025</w:t>
            </w:r>
          </w:p>
        </w:tc>
      </w:tr>
    </w:tbl>
    <w:tbl>
      <w:tblPr>
        <w:tblStyle w:val="TableGrid"/>
        <w:tblW w:w="10916" w:type="dxa"/>
        <w:tblInd w:w="-998" w:type="dxa"/>
        <w:tblLayout w:type="fixed"/>
        <w:tblLook w:val="0420" w:firstRow="1" w:lastRow="0" w:firstColumn="0" w:lastColumn="0" w:noHBand="0" w:noVBand="1"/>
        <w:tblCaption w:val="Angina and coronary heart disease GP indicators table"/>
        <w:tblDescription w:val="Table for Angina and coronary heart disease GP indicators"/>
      </w:tblPr>
      <w:tblGrid>
        <w:gridCol w:w="1277"/>
        <w:gridCol w:w="5386"/>
        <w:gridCol w:w="2694"/>
        <w:gridCol w:w="1559"/>
      </w:tblGrid>
      <w:tr w:rsidR="00DD31A8" w:rsidRPr="007A1C04" w14:paraId="6DEAE2B2" w14:textId="77777777" w:rsidTr="00DD31A8">
        <w:trPr>
          <w:trHeight w:val="50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543B7" w14:textId="77777777" w:rsidR="00DD31A8" w:rsidRPr="007A1C04" w:rsidRDefault="00000000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DD31A8" w:rsidRPr="009120E4">
                <w:rPr>
                  <w:rFonts w:ascii="Arial" w:hAnsi="Arial" w:cs="Arial"/>
                  <w:color w:val="0563C1" w:themeColor="hyperlink"/>
                  <w:sz w:val="20"/>
                  <w:szCs w:val="20"/>
                  <w:u w:val="single"/>
                </w:rPr>
                <w:t>CCG10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3B91E" w14:textId="77777777" w:rsidR="00DD31A8" w:rsidRPr="007A1C04" w:rsidRDefault="00DD31A8" w:rsidP="00AE12AA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1C04">
              <w:rPr>
                <w:rFonts w:ascii="Arial" w:hAnsi="Arial" w:cs="Arial"/>
                <w:sz w:val="20"/>
                <w:szCs w:val="20"/>
              </w:rPr>
              <w:t>The proportion of people admitted for coronary heart disease referred for cardiac rehabilitation within 5 days of admission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19FF1" w14:textId="77777777" w:rsidR="00DD31A8" w:rsidRPr="007A1C04" w:rsidRDefault="00DD31A8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7A1C04">
              <w:rPr>
                <w:rFonts w:ascii="Arial" w:hAnsi="Arial" w:cs="Arial"/>
                <w:sz w:val="20"/>
                <w:szCs w:val="20"/>
              </w:rPr>
              <w:t>Clinical Commissioning Group Outcome Indicator Set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1DDE9" w14:textId="77777777" w:rsidR="00DD31A8" w:rsidRPr="007A1C04" w:rsidRDefault="00DD31A8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7A1C04">
              <w:rPr>
                <w:rFonts w:ascii="Arial" w:hAnsi="Arial" w:cs="Arial"/>
                <w:sz w:val="20"/>
                <w:szCs w:val="20"/>
              </w:rPr>
              <w:t>September 2023</w:t>
            </w:r>
          </w:p>
        </w:tc>
      </w:tr>
    </w:tbl>
    <w:tbl>
      <w:tblPr>
        <w:tblStyle w:val="TableGrid1"/>
        <w:tblW w:w="10632" w:type="dxa"/>
        <w:tblInd w:w="-998" w:type="dxa"/>
        <w:tblLook w:val="0420" w:firstRow="1" w:lastRow="0" w:firstColumn="0" w:lastColumn="0" w:noHBand="0" w:noVBand="1"/>
        <w:tblCaption w:val="Angina and coronary heart disease GP indicators table"/>
        <w:tblDescription w:val="Table for Angina and coronary heart disease GP indicators"/>
      </w:tblPr>
      <w:tblGrid>
        <w:gridCol w:w="1277"/>
        <w:gridCol w:w="5386"/>
        <w:gridCol w:w="2410"/>
        <w:gridCol w:w="1559"/>
      </w:tblGrid>
      <w:tr w:rsidR="00956D68" w14:paraId="6B5B956D" w14:textId="77777777" w:rsidTr="00956D68">
        <w:trPr>
          <w:trHeight w:val="690"/>
        </w:trPr>
        <w:tc>
          <w:tcPr>
            <w:tcW w:w="1277" w:type="dxa"/>
          </w:tcPr>
          <w:p w14:paraId="6707C990" w14:textId="77777777" w:rsidR="00956D68" w:rsidRPr="00D61789" w:rsidRDefault="00000000" w:rsidP="00AE12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3" w:history="1">
              <w:r w:rsidR="00956D68" w:rsidRPr="0049568E">
                <w:rPr>
                  <w:rStyle w:val="Hyperlink"/>
                  <w:rFonts w:ascii="Arial" w:hAnsi="Arial" w:cs="Arial"/>
                  <w:sz w:val="20"/>
                  <w:szCs w:val="20"/>
                </w:rPr>
                <w:t>IAP00428</w:t>
              </w:r>
            </w:hyperlink>
          </w:p>
        </w:tc>
        <w:tc>
          <w:tcPr>
            <w:tcW w:w="5386" w:type="dxa"/>
          </w:tcPr>
          <w:p w14:paraId="30CC7FBE" w14:textId="77777777" w:rsidR="00956D68" w:rsidRPr="00D61789" w:rsidRDefault="00956D68" w:rsidP="00AE12AA">
            <w:pPr>
              <w:rPr>
                <w:rFonts w:ascii="Arial" w:hAnsi="Arial" w:cs="Arial"/>
                <w:sz w:val="20"/>
                <w:szCs w:val="20"/>
              </w:rPr>
            </w:pPr>
            <w:r w:rsidRPr="00D61789">
              <w:rPr>
                <w:rFonts w:ascii="Arial" w:hAnsi="Arial" w:cs="Arial"/>
                <w:sz w:val="20"/>
                <w:szCs w:val="20"/>
              </w:rPr>
              <w:t>Referrals to cardiac rehabilitation following an admission for coronary heart disease</w:t>
            </w:r>
          </w:p>
        </w:tc>
        <w:tc>
          <w:tcPr>
            <w:tcW w:w="2410" w:type="dxa"/>
          </w:tcPr>
          <w:p w14:paraId="304D5B1D" w14:textId="77777777" w:rsidR="00956D68" w:rsidRPr="00D61789" w:rsidRDefault="00956D68" w:rsidP="00AE12AA">
            <w:pPr>
              <w:keepNext/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D61789">
              <w:rPr>
                <w:rFonts w:ascii="Arial" w:hAnsi="Arial" w:cs="Arial"/>
                <w:sz w:val="20"/>
                <w:szCs w:val="20"/>
              </w:rPr>
              <w:t>National library indicator</w:t>
            </w:r>
          </w:p>
        </w:tc>
        <w:tc>
          <w:tcPr>
            <w:tcW w:w="1559" w:type="dxa"/>
          </w:tcPr>
          <w:p w14:paraId="22AD3F21" w14:textId="77777777" w:rsidR="00956D68" w:rsidRDefault="00956D68" w:rsidP="00AE12AA">
            <w:pPr>
              <w:pStyle w:val="Paragraph"/>
              <w:numPr>
                <w:ilvl w:val="0"/>
                <w:numId w:val="0"/>
              </w:numPr>
              <w:spacing w:after="0" w:line="240" w:lineRule="auto"/>
              <w:ind w:left="3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March 2023</w:t>
            </w:r>
          </w:p>
        </w:tc>
      </w:tr>
      <w:tr w:rsidR="00956D68" w14:paraId="619A3630" w14:textId="77777777" w:rsidTr="00956D68">
        <w:trPr>
          <w:trHeight w:val="690"/>
        </w:trPr>
        <w:tc>
          <w:tcPr>
            <w:tcW w:w="1277" w:type="dxa"/>
          </w:tcPr>
          <w:p w14:paraId="33805888" w14:textId="77777777" w:rsidR="00956D68" w:rsidRPr="00D61789" w:rsidRDefault="00000000" w:rsidP="00AE12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4" w:history="1">
              <w:r w:rsidR="00956D68" w:rsidRPr="0049568E">
                <w:rPr>
                  <w:rStyle w:val="Hyperlink"/>
                  <w:rFonts w:ascii="Arial" w:hAnsi="Arial" w:cs="Arial"/>
                  <w:sz w:val="20"/>
                  <w:szCs w:val="20"/>
                </w:rPr>
                <w:t>IAP00430</w:t>
              </w:r>
            </w:hyperlink>
          </w:p>
        </w:tc>
        <w:tc>
          <w:tcPr>
            <w:tcW w:w="5386" w:type="dxa"/>
          </w:tcPr>
          <w:p w14:paraId="5DD11C77" w14:textId="77777777" w:rsidR="00956D68" w:rsidRPr="00D61789" w:rsidRDefault="00956D68" w:rsidP="00AE12AA">
            <w:pPr>
              <w:rPr>
                <w:rFonts w:ascii="Arial" w:hAnsi="Arial" w:cs="Arial"/>
                <w:sz w:val="20"/>
                <w:szCs w:val="20"/>
              </w:rPr>
            </w:pPr>
            <w:r w:rsidRPr="00D61789">
              <w:rPr>
                <w:rFonts w:ascii="Arial" w:hAnsi="Arial" w:cs="Arial"/>
                <w:sz w:val="20"/>
                <w:szCs w:val="20"/>
              </w:rPr>
              <w:t>Completion of cardiac rehabilitation following an admission for coronary heart disease</w:t>
            </w:r>
          </w:p>
        </w:tc>
        <w:tc>
          <w:tcPr>
            <w:tcW w:w="2410" w:type="dxa"/>
          </w:tcPr>
          <w:p w14:paraId="3A3DF0E0" w14:textId="77777777" w:rsidR="00956D68" w:rsidRPr="00D61789" w:rsidRDefault="00956D68" w:rsidP="00AE12AA">
            <w:pPr>
              <w:keepNext/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D61789">
              <w:rPr>
                <w:rFonts w:ascii="Arial" w:hAnsi="Arial" w:cs="Arial"/>
                <w:sz w:val="20"/>
                <w:szCs w:val="20"/>
              </w:rPr>
              <w:t>National library indicator</w:t>
            </w:r>
          </w:p>
        </w:tc>
        <w:tc>
          <w:tcPr>
            <w:tcW w:w="1559" w:type="dxa"/>
          </w:tcPr>
          <w:p w14:paraId="754E8D93" w14:textId="77777777" w:rsidR="00956D68" w:rsidRDefault="00956D68" w:rsidP="00AE12AA">
            <w:pPr>
              <w:pStyle w:val="Paragraph"/>
              <w:numPr>
                <w:ilvl w:val="0"/>
                <w:numId w:val="0"/>
              </w:numPr>
              <w:spacing w:after="0" w:line="240" w:lineRule="auto"/>
              <w:ind w:left="3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March 2023</w:t>
            </w:r>
          </w:p>
        </w:tc>
      </w:tr>
    </w:tbl>
    <w:p w14:paraId="741DBDF4" w14:textId="77777777" w:rsidR="002C613C" w:rsidRPr="0090031C" w:rsidRDefault="002C613C"/>
    <w:sectPr w:rsidR="002C613C" w:rsidRPr="009003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874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31C"/>
    <w:rsid w:val="002C613C"/>
    <w:rsid w:val="00616490"/>
    <w:rsid w:val="0090031C"/>
    <w:rsid w:val="00956D68"/>
    <w:rsid w:val="00DD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B0A97"/>
  <w15:chartTrackingRefBased/>
  <w15:docId w15:val="{86AC66C6-AAE6-4938-A6EC-A5BC3119F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0031C"/>
    <w:rPr>
      <w:color w:val="0000FF"/>
      <w:u w:val="single"/>
    </w:rPr>
  </w:style>
  <w:style w:type="paragraph" w:customStyle="1" w:styleId="NICEnormal">
    <w:name w:val="NICE normal"/>
    <w:link w:val="NICEnormalChar"/>
    <w:qFormat/>
    <w:rsid w:val="0090031C"/>
    <w:pPr>
      <w:spacing w:after="240" w:line="360" w:lineRule="auto"/>
    </w:pPr>
    <w:rPr>
      <w:rFonts w:ascii="Arial" w:eastAsia="Times New Roman" w:hAnsi="Arial" w:cs="Times New Roman"/>
      <w:sz w:val="24"/>
      <w:szCs w:val="24"/>
      <w:lang w:val="en-GB"/>
    </w:rPr>
  </w:style>
  <w:style w:type="table" w:styleId="MediumShading2-Accent1">
    <w:name w:val="Medium Shading 2 Accent 1"/>
    <w:basedOn w:val="TableNormal"/>
    <w:uiPriority w:val="64"/>
    <w:rsid w:val="009003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CEnormalChar">
    <w:name w:val="NICE normal Char"/>
    <w:link w:val="NICEnormal"/>
    <w:rsid w:val="0090031C"/>
    <w:rPr>
      <w:rFonts w:ascii="Arial" w:eastAsia="Times New Roman" w:hAnsi="Arial" w:cs="Times New Roman"/>
      <w:sz w:val="24"/>
      <w:szCs w:val="24"/>
      <w:lang w:val="en-GB"/>
    </w:rPr>
  </w:style>
  <w:style w:type="table" w:styleId="TableGrid">
    <w:name w:val="Table Grid"/>
    <w:basedOn w:val="TableNormal"/>
    <w:rsid w:val="00DD31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956D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uiPriority w:val="4"/>
    <w:qFormat/>
    <w:rsid w:val="00956D68"/>
    <w:pPr>
      <w:numPr>
        <w:numId w:val="1"/>
      </w:numPr>
      <w:tabs>
        <w:tab w:val="left" w:pos="567"/>
      </w:tabs>
      <w:spacing w:after="240" w:line="276" w:lineRule="auto"/>
      <w:ind w:left="567" w:hanging="501"/>
    </w:pPr>
    <w:rPr>
      <w:rFonts w:ascii="Arial" w:hAnsi="Aria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standards-and-indicators/qofindicators/the-percentage-of-patients-with-one-or-more-of-the-following-conditions-chd-atrial-fibrillation-chronic-heart-failure-stroke-or-tia-diabetes-or-dementia-who-have-been-screened-for-unsafe-drinking-using-the-fast-or-audit-c-tool-in-the-preceding-2-years" TargetMode="External"/><Relationship Id="rId13" Type="http://schemas.openxmlformats.org/officeDocument/2006/relationships/hyperlink" Target="https://www.nice.org.uk/standards-and-indicators/nlindicators/referrals-to-cardiac-rehabilitation-following-an-admission-for-coronary-heart-diseas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ce.org.uk/standards-and-indicators/qofindicators/the-percentage-of-patients-with-coronary-heart-disease-stroke-or-transient-ischemic-attack-diabetes-and-or-chronic-obstructive-pulmonary-disease-who-have-influenza-immunisation-in-the-preceding-1-august-and-31-march-nm122" TargetMode="External"/><Relationship Id="rId12" Type="http://schemas.openxmlformats.org/officeDocument/2006/relationships/hyperlink" Target="https://www.nice.org.uk/standards-and-indicators/ccgoisindicators/coronary-heart-disease-ccg1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nice.org.uk/standards-and-indicators/qofindicators/the-percentage-of-patients-with-coronary-heart-disease-with-a-record-in-the-preceding-12-months-that-aspirin-an-alternative-anti-platelet-therapy-or-an-anti-coagulant-is-being-taken-nm88" TargetMode="External"/><Relationship Id="rId11" Type="http://schemas.openxmlformats.org/officeDocument/2006/relationships/hyperlink" Target="https://www.nice.org.uk/standards-and-indicators/qofindicators/the-percentage-of-patients-aged-80-years-or-over-with-coronary-heart-disease-in-whom-the-last-blood-pressure-reading-measured-in-the-preceding-12-months-is-less-than-145-85-mmhg-if-using-ambulatory-or-home-monitoring-or-less-than-150-90-mmhg-if-monitored-" TargetMode="External"/><Relationship Id="rId5" Type="http://schemas.openxmlformats.org/officeDocument/2006/relationships/hyperlink" Target="https://www.nice.org.uk/standards-and-indicators/qofindicators/the-percentage-of-patients-with-coronary-heart-disease-who-have-had-influenza-immunisation-in-the-preceding-1-august-to-31-march-nm87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nice.org.uk/standards-and-indicators/qofindicators/the-percentage-of-patients-aged-79-years-or-under-with-coronary-heart-disease-in-whom-the-last-blood-pressure-reading-measured-in-the-preceding-12-months-is-less-than-135-85-mmhg-if-using-ambulatory-or-home-monitoring-or-less-than-140-90-mmhg-if-monitor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standards-and-indicators/qofindicators/the-percentage-of-patients-with-one-or-more-of-the-following-conditions-chd-atrial-fibrillation-chronic-heart-failure-stroke-or-tia-diabetes-or-dementia-with-a-fast-score-of-3-or-audit-c-score-of-5-in-the-preceding-2-years-who-have-received-brief-interven" TargetMode="External"/><Relationship Id="rId14" Type="http://schemas.openxmlformats.org/officeDocument/2006/relationships/hyperlink" Target="https://www.nice.org.uk/standards-and-indicators/nlindicators/completion-of-cardiac-rehabilitation-following-an-admission-for-coronary-heart-dise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830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Cyprus</Company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Anneza Yiallourou</dc:creator>
  <cp:keywords/>
  <dc:description/>
  <cp:lastModifiedBy>Monika Kyriacou</cp:lastModifiedBy>
  <cp:revision>2</cp:revision>
  <dcterms:created xsi:type="dcterms:W3CDTF">2023-03-02T14:11:00Z</dcterms:created>
  <dcterms:modified xsi:type="dcterms:W3CDTF">2023-03-02T14:11:00Z</dcterms:modified>
</cp:coreProperties>
</file>